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center"/>
        <w:rPr>
          <w:caps/>
          <w:color w:val="000000" w:themeColor="text1"/>
        </w:rPr>
      </w:pPr>
      <w:r>
        <w:rPr>
          <w:caps/>
          <w:color w:val="000000" w:themeColor="text1"/>
        </w:rPr>
        <w:t>МИНИСТЕРСТВО ОБРАЗОВАНИЯ ВОЛОГОДСКОЙ ОБЛАСТИ</w:t>
      </w:r>
    </w:p>
    <w:p>
      <w:pPr>
        <w:pStyle w:val="Normal"/>
        <w:widowControl w:val="false"/>
        <w:jc w:val="center"/>
        <w:rPr>
          <w:caps/>
          <w:color w:val="000000" w:themeColor="text1"/>
        </w:rPr>
      </w:pPr>
      <w:r>
        <w:rPr>
          <w:caps/>
          <w:color w:val="000000" w:themeColor="text1"/>
        </w:rPr>
        <w:t>БПОУ  ВО «</w:t>
      </w:r>
      <w:r>
        <w:rPr>
          <w:color w:val="000000" w:themeColor="text1"/>
        </w:rPr>
        <w:t>Вологодский аграрно-экономический колледж</w:t>
      </w:r>
      <w:r>
        <w:rPr>
          <w:caps/>
          <w:color w:val="000000" w:themeColor="text1"/>
        </w:rPr>
        <w:t>»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>
          <w:b/>
          <w:b/>
          <w:caps/>
          <w:color w:val="000000" w:themeColor="text1"/>
        </w:rPr>
      </w:pPr>
      <w:r>
        <w:rPr>
          <w:b/>
          <w:caps/>
          <w:color w:val="000000" w:themeColor="text1"/>
        </w:rPr>
      </w:r>
    </w:p>
    <w:p>
      <w:pPr>
        <w:pStyle w:val="Normal"/>
        <w:jc w:val="right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right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b/>
          <w:b/>
          <w:color w:val="000000" w:themeColor="text1"/>
        </w:rPr>
      </w:pPr>
      <w:r>
        <w:rPr>
          <w:b/>
          <w:color w:val="000000" w:themeColor="text1"/>
        </w:rPr>
        <w:t>МЕТОДИЧЕСКИЕ УКАЗАНИЯ</w:t>
      </w:r>
    </w:p>
    <w:p>
      <w:pPr>
        <w:pStyle w:val="Normal"/>
        <w:jc w:val="center"/>
        <w:rPr>
          <w:b/>
          <w:b/>
          <w:color w:val="000000" w:themeColor="text1"/>
        </w:rPr>
      </w:pPr>
      <w:r>
        <w:rPr>
          <w:b/>
          <w:color w:val="000000" w:themeColor="text1"/>
        </w:rPr>
        <w:t>ДЛЯ ВЫПОЛНЕНИЯ ВНЕАУДИТОРНОЙ САМОСТОЯТЕЛЬНОЙ</w:t>
      </w:r>
    </w:p>
    <w:p>
      <w:pPr>
        <w:pStyle w:val="Normal"/>
        <w:jc w:val="center"/>
        <w:rPr>
          <w:b/>
          <w:b/>
          <w:color w:val="000000" w:themeColor="text1"/>
        </w:rPr>
      </w:pPr>
      <w:r>
        <w:rPr>
          <w:b/>
          <w:color w:val="000000" w:themeColor="text1"/>
        </w:rPr>
        <w:t>РАБОТЫ СТУДЕНТОВ</w:t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111"/>
        <w:jc w:val="center"/>
        <w:rPr>
          <w:color w:val="000000" w:themeColor="text1"/>
        </w:rPr>
      </w:pPr>
      <w:r>
        <w:rPr>
          <w:b/>
          <w:color w:val="000000" w:themeColor="text1"/>
          <w:sz w:val="28"/>
          <w:szCs w:val="28"/>
        </w:rPr>
        <w:t>ПМ. 03 Выполнение работ по рабочей профессии Контролер (Сберегательного банка)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/>
          <w:caps/>
          <w:color w:val="000000" w:themeColor="text1"/>
        </w:rPr>
      </w:pPr>
      <w:r>
        <w:rPr>
          <w:b/>
          <w:caps/>
          <w:color w:val="000000" w:themeColor="text1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caps/>
          <w:color w:val="000000" w:themeColor="text1"/>
        </w:rPr>
      </w:pPr>
      <w:r>
        <w:rPr>
          <w:caps/>
          <w:color w:val="000000" w:themeColor="text1"/>
        </w:rPr>
      </w:r>
    </w:p>
    <w:p>
      <w:pPr>
        <w:pStyle w:val="Normal"/>
        <w:keepNext w:val="true"/>
        <w:suppressLineNumbers/>
        <w:jc w:val="center"/>
        <w:rPr>
          <w:color w:val="000000" w:themeColor="text1"/>
        </w:rPr>
      </w:pPr>
      <w:r>
        <w:rPr>
          <w:color w:val="000000" w:themeColor="text1"/>
        </w:rPr>
        <w:t>по специальности    38.02.07 Банковское дело</w:t>
      </w:r>
    </w:p>
    <w:p>
      <w:pPr>
        <w:pStyle w:val="Normal"/>
        <w:keepNext w:val="true"/>
        <w:suppressLineNumbers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keepNext w:val="true"/>
        <w:suppressLineNumbers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  <w:t>Форма обучения</w:t>
      </w:r>
    </w:p>
    <w:p>
      <w:pPr>
        <w:pStyle w:val="Normal"/>
        <w:keepNext w:val="true"/>
        <w:suppressLineNumbers/>
        <w:jc w:val="center"/>
        <w:rPr>
          <w:color w:val="000000" w:themeColor="text1"/>
        </w:rPr>
      </w:pPr>
      <w:r>
        <w:rPr>
          <w:color w:val="000000" w:themeColor="text1"/>
          <w:u w:val="single"/>
        </w:rPr>
        <w:t>очная форма обучения</w:t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>
          <w:color w:val="000000" w:themeColor="text1"/>
        </w:rPr>
      </w:pPr>
      <w:r>
        <w:rPr>
          <w:color w:val="000000" w:themeColor="text1"/>
        </w:rPr>
        <w:t>Вологда</w:t>
      </w:r>
    </w:p>
    <w:p>
      <w:pPr>
        <w:pStyle w:val="24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709"/>
        <w:rPr>
          <w:color w:val="000000" w:themeColor="text1"/>
          <w:spacing w:val="-2"/>
          <w:sz w:val="28"/>
          <w:szCs w:val="28"/>
        </w:rPr>
      </w:pPr>
      <w:r>
        <w:rPr>
          <w:color w:val="000000" w:themeColor="text1"/>
          <w:spacing w:val="-2"/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>
          <w:color w:val="000000" w:themeColor="text1"/>
        </w:rPr>
      </w:pPr>
      <w:r>
        <w:rPr>
          <w:bCs/>
          <w:color w:val="000000" w:themeColor="text1"/>
        </w:rPr>
        <w:t>2024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center"/>
        <w:rPr>
          <w:color w:val="000000" w:themeColor="text1"/>
        </w:rPr>
      </w:pPr>
      <w:r>
        <w:rPr>
          <w:color w:val="000000" w:themeColor="text1"/>
        </w:rPr>
      </w:r>
    </w:p>
    <w:tbl>
      <w:tblPr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85"/>
        <w:gridCol w:w="4785"/>
      </w:tblGrid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Рассмотрено методической комиссией технических и экономических дисциплин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Протокол №1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0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от 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06.06.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2024 г.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Председатель МК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_______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drawing>
                <wp:inline distT="0" distB="0" distL="0" distR="0">
                  <wp:extent cx="542290" cy="285750"/>
                  <wp:effectExtent l="0" t="0" r="0" b="0"/>
                  <wp:docPr id="1" name="_x005F_x0000_i10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_x005F_x0000_i10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0" t="14883" r="0" b="159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  <w:sz w:val="28"/>
                <w:szCs w:val="28"/>
                <w:lang w:eastAsia="en-US"/>
              </w:rPr>
              <w:t>___О.Б. Литвинова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28"/>
              </w:rPr>
              <w:t>Одобрено и рекомендовано для внутреннего использования научно-методическим Советом колледжа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sz w:val="28"/>
              </w:rPr>
              <w:t xml:space="preserve">Протокол № 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от </w:t>
            </w:r>
            <w:r>
              <w:rPr>
                <w:sz w:val="28"/>
              </w:rPr>
              <w:t>06</w:t>
            </w:r>
            <w:r>
              <w:rPr>
                <w:sz w:val="28"/>
              </w:rPr>
              <w:t>.0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>.2024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bookmarkStart w:id="0" w:name="_GoBack"/>
            <w:bookmarkEnd w:id="0"/>
            <w:r>
              <w:rPr>
                <w:rFonts w:eastAsia="Times New Roman"/>
                <w:sz w:val="28"/>
                <w:szCs w:val="28"/>
                <w:lang w:eastAsia="en-US"/>
              </w:rPr>
              <w:t xml:space="preserve">Председатель   НМС 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drawing>
                <wp:inline distT="0" distB="0" distL="0" distR="0">
                  <wp:extent cx="1267460" cy="531495"/>
                  <wp:effectExtent l="0" t="0" r="0" b="0"/>
                  <wp:docPr id="2" name="Рисунок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rcRect l="-54" t="-116" r="-54" b="-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460" cy="53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Е.В. Вихарева</w:t>
            </w:r>
          </w:p>
        </w:tc>
      </w:tr>
    </w:tbl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 w:themeColor="text1"/>
        </w:rPr>
      </w:pPr>
      <w:r>
        <w:rPr>
          <w:color w:val="000000" w:themeColor="text1"/>
        </w:rPr>
        <w:t>Разработчик: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 w:themeColor="text1"/>
        </w:rPr>
      </w:pPr>
      <w:r>
        <w:rPr>
          <w:color w:val="000000" w:themeColor="text1"/>
        </w:rPr>
        <w:t>Кощеева Маргарита Алексеевна, преподаватель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 w:themeColor="text1"/>
        </w:rPr>
      </w:pPr>
      <w:r>
        <w:rPr>
          <w:color w:val="000000" w:themeColor="text1"/>
        </w:rPr>
        <w:t>БПОУ ВО «Вологодский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 w:themeColor="text1"/>
        </w:rPr>
      </w:pPr>
      <w:r>
        <w:rPr>
          <w:color w:val="000000" w:themeColor="text1"/>
        </w:rPr>
        <w:t>аграрно-экономический колледж»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211"/>
        <w:widowControl w:val="false"/>
        <w:ind w:left="0" w:firstLine="708"/>
        <w:jc w:val="both"/>
        <w:rPr>
          <w:rFonts w:ascii="Times New Roman" w:hAnsi="Times New Roman" w:cs="Times New Roman"/>
          <w:bCs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  <w:sz w:val="28"/>
        </w:rPr>
        <w:t>Методические указания предназначены для обучающихся специальности 38.02.07.  Банковское дело и направлены на оказание практической помощи при выполнении внеаудиторной самостоятельной работы по ПМ. 03 Выполнение работ по рабочей профессии Контролер (Сберегательного банка).</w:t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b/>
          <w:b/>
          <w:color w:val="000000" w:themeColor="text1"/>
        </w:rPr>
      </w:pPr>
      <w:r>
        <w:rPr>
          <w:b/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tabs>
          <w:tab w:val="clear" w:pos="708"/>
          <w:tab w:val="left" w:pos="3810" w:leader="none"/>
        </w:tabs>
        <w:spacing w:before="0" w:after="0"/>
        <w:contextualSpacing/>
        <w:jc w:val="center"/>
        <w:rPr>
          <w:b/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Пояснительная записка</w:t>
      </w:r>
    </w:p>
    <w:p>
      <w:pPr>
        <w:pStyle w:val="Normal"/>
        <w:tabs>
          <w:tab w:val="clear" w:pos="708"/>
          <w:tab w:val="left" w:pos="3810" w:leader="none"/>
        </w:tabs>
        <w:spacing w:before="0" w:after="0"/>
        <w:contextualSpacing/>
        <w:jc w:val="center"/>
        <w:rPr>
          <w:b/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</w:r>
    </w:p>
    <w:p>
      <w:pPr>
        <w:pStyle w:val="Normal"/>
        <w:keepNext w:val="true"/>
        <w:suppressLineNumbers/>
        <w:ind w:firstLine="708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Рабочая программа профессионального модуля  является частью программы подготовки специалистов среднего звена в соответствии с ФГОС СПО  38.02.07  Банковское дело по очной форме обучения в части освоения основного вида профессиональной деятельности (ВПД): </w:t>
      </w:r>
    </w:p>
    <w:p>
      <w:pPr>
        <w:pStyle w:val="ConsPlusNormal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ведение расчетных операций и профессиональных компетенций (ПК):    </w:t>
      </w:r>
    </w:p>
    <w:p>
      <w:pPr>
        <w:pStyle w:val="ConsPlusNormal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ПК 1.1. Осуществлять расчетно-кассовое обслуживание клиентов;</w:t>
      </w:r>
    </w:p>
    <w:p>
      <w:pPr>
        <w:pStyle w:val="Pj"/>
        <w:shd w:val="clear" w:color="auto" w:fill="FFFFFF"/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>ПК 1.2. Осуществлять безналичные платежи с использованием различных форм расчетов в национальной и иностранной валютах;</w:t>
      </w:r>
    </w:p>
    <w:p>
      <w:pPr>
        <w:pStyle w:val="Pj"/>
        <w:shd w:val="clear" w:color="auto" w:fill="FFFFFF"/>
        <w:spacing w:before="0" w:after="0"/>
        <w:jc w:val="both"/>
        <w:rPr>
          <w:b/>
          <w:b/>
          <w:color w:val="000000" w:themeColor="text1"/>
        </w:rPr>
      </w:pPr>
      <w:r>
        <w:rPr>
          <w:color w:val="000000" w:themeColor="text1"/>
        </w:rPr>
        <w:t>ПК 1.6. Обслуживать расчетные операции с использованием различных видов платежных карт.</w:t>
      </w:r>
      <w:r>
        <w:rPr>
          <w:b/>
          <w:color w:val="000000" w:themeColor="text1"/>
        </w:rPr>
        <w:t xml:space="preserve"> </w:t>
      </w:r>
    </w:p>
    <w:p>
      <w:pPr>
        <w:pStyle w:val="Pj"/>
        <w:shd w:val="clear" w:color="auto" w:fill="FFFFFF"/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>Личностных результатов (ЛР):</w:t>
      </w:r>
    </w:p>
    <w:p>
      <w:pPr>
        <w:pStyle w:val="Pj"/>
        <w:shd w:val="clear" w:color="auto" w:fill="FFFFFF"/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>ЛР 2 -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</w:r>
    </w:p>
    <w:p>
      <w:pPr>
        <w:pStyle w:val="Pj"/>
        <w:shd w:val="clear" w:color="auto" w:fill="FFFFFF"/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>ЛР 4 -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</w:r>
    </w:p>
    <w:p>
      <w:pPr>
        <w:pStyle w:val="Style17"/>
        <w:widowControl w:val="false"/>
        <w:numPr>
          <w:ilvl w:val="0"/>
          <w:numId w:val="1"/>
        </w:numPr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>ЛР 13 - 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</w:r>
    </w:p>
    <w:p>
      <w:pPr>
        <w:pStyle w:val="Style17"/>
        <w:widowControl w:val="false"/>
        <w:numPr>
          <w:ilvl w:val="0"/>
          <w:numId w:val="1"/>
        </w:numPr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>ЛР 14 - 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</w:r>
    </w:p>
    <w:p>
      <w:pPr>
        <w:pStyle w:val="Style17"/>
        <w:widowControl w:val="false"/>
        <w:numPr>
          <w:ilvl w:val="0"/>
          <w:numId w:val="1"/>
        </w:numPr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 xml:space="preserve">ЛР 15 - Открытый к текущим и перспективным изменениям в мире труда и профессий </w:t>
      </w:r>
    </w:p>
    <w:p>
      <w:pPr>
        <w:pStyle w:val="Pj"/>
        <w:shd w:val="clear" w:color="auto" w:fill="FFFFFF"/>
        <w:spacing w:before="0" w:after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Профессиональный модуль ПМ.03 Выполнение работ по рабочей профессии Контролёр (Сберегательного банка) входит в блок профессиональных модулей по специальности 38.07.02 Банковское дело.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Программа профессионального модуля включает междисциплинарный курс МДК.03.01. Выполнение работ по рабочей профессии Контролер (Сберегательного банка), предусматривающий изучение материала, дающего целостное представление об осуществлении, учете  и контроле банковских операций по привлечению и размещению денежных средств, оказание банковских услуг клиентам в организациях кредитной системы и формирования организации кредитования в банках, а также приобретение практического опыта посредством овладения профессиональными компетенциями.</w:t>
      </w:r>
    </w:p>
    <w:p>
      <w:pPr>
        <w:pStyle w:val="Normal"/>
        <w:ind w:firstLine="709"/>
        <w:jc w:val="both"/>
        <w:rPr>
          <w:color w:val="000000" w:themeColor="text1"/>
          <w:sz w:val="24"/>
          <w:szCs w:val="24"/>
        </w:rPr>
      </w:pPr>
      <w:r>
        <w:rPr>
          <w:b/>
          <w:i/>
          <w:color w:val="000000" w:themeColor="text1"/>
          <w:sz w:val="24"/>
          <w:szCs w:val="24"/>
        </w:rPr>
        <w:t>Целью</w:t>
      </w:r>
      <w:r>
        <w:rPr>
          <w:color w:val="000000" w:themeColor="text1"/>
          <w:sz w:val="24"/>
          <w:szCs w:val="24"/>
        </w:rPr>
        <w:t xml:space="preserve"> методических указаний является обеспечение эффективности самостоятельной работы обучающихся с нормативной и экономической документацией на основе правильной организации их изучения.</w:t>
      </w:r>
    </w:p>
    <w:p>
      <w:pPr>
        <w:pStyle w:val="Normal"/>
        <w:ind w:firstLine="709"/>
        <w:jc w:val="both"/>
        <w:rPr>
          <w:color w:val="000000" w:themeColor="text1"/>
          <w:sz w:val="24"/>
          <w:szCs w:val="24"/>
        </w:rPr>
      </w:pPr>
      <w:r>
        <w:rPr>
          <w:b/>
          <w:i/>
          <w:color w:val="000000" w:themeColor="text1"/>
          <w:sz w:val="24"/>
          <w:szCs w:val="24"/>
        </w:rPr>
        <w:t>Задачами</w:t>
      </w:r>
      <w:r>
        <w:rPr>
          <w:color w:val="000000" w:themeColor="text1"/>
          <w:sz w:val="24"/>
          <w:szCs w:val="24"/>
        </w:rPr>
        <w:t xml:space="preserve"> методических указаний по выполнению самостоятельной работы являются:</w:t>
      </w:r>
    </w:p>
    <w:p>
      <w:pPr>
        <w:pStyle w:val="Normal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активизация самостоятельной работы обучающихся;</w:t>
      </w:r>
    </w:p>
    <w:p>
      <w:pPr>
        <w:pStyle w:val="Normal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содействие развития творческого отношения к данной дисциплине;</w:t>
      </w:r>
    </w:p>
    <w:p>
      <w:pPr>
        <w:pStyle w:val="Normal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выработка умений и навыков рациональной работы с литературой и экономической документацией;</w:t>
      </w:r>
    </w:p>
    <w:p>
      <w:pPr>
        <w:pStyle w:val="Normal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управление познавательной деятельности обучающихся.</w:t>
      </w:r>
    </w:p>
    <w:p>
      <w:pPr>
        <w:pStyle w:val="Normal"/>
        <w:ind w:firstLine="709"/>
        <w:jc w:val="both"/>
        <w:rPr>
          <w:color w:val="000000" w:themeColor="text1"/>
          <w:sz w:val="24"/>
          <w:szCs w:val="24"/>
        </w:rPr>
      </w:pPr>
      <w:r>
        <w:rPr>
          <w:b/>
          <w:i/>
          <w:color w:val="000000" w:themeColor="text1"/>
          <w:sz w:val="24"/>
          <w:szCs w:val="24"/>
        </w:rPr>
        <w:t>Функциями</w:t>
      </w:r>
      <w:r>
        <w:rPr>
          <w:color w:val="000000" w:themeColor="text1"/>
          <w:sz w:val="24"/>
          <w:szCs w:val="24"/>
        </w:rPr>
        <w:t xml:space="preserve"> методических указаний по выполнению самостоятельной работы являются:</w:t>
      </w:r>
    </w:p>
    <w:p>
      <w:pPr>
        <w:pStyle w:val="Normal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определение содержания работы обучающихся по овладению программным материалом;</w:t>
      </w:r>
    </w:p>
    <w:p>
      <w:pPr>
        <w:pStyle w:val="Normal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установление требований к результатам изучения дисциплины.</w:t>
      </w:r>
    </w:p>
    <w:p>
      <w:pPr>
        <w:pStyle w:val="Normal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У обучающихся  должно сложиться достаточное понимание целей, задач и функций финансово-хозяйственной деятельности предприятия, условий, необходимых для повышения финансово-хозяйственной деятельности предприятия.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2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>
      <w:pPr>
        <w:pStyle w:val="Pl"/>
        <w:shd w:val="clear" w:color="auto" w:fill="FFFFFF"/>
        <w:spacing w:before="0" w:after="0"/>
        <w:rPr>
          <w:color w:val="000000" w:themeColor="text1"/>
        </w:rPr>
      </w:pPr>
      <w:r>
        <w:rPr>
          <w:b/>
          <w:color w:val="000000" w:themeColor="text1"/>
        </w:rPr>
        <w:t>уметь:</w:t>
      </w:r>
    </w:p>
    <w:p>
      <w:pPr>
        <w:pStyle w:val="Pj"/>
        <w:shd w:val="clear" w:color="auto" w:fill="FFFFFF"/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>-оформлять договоры банковского счета с клиентами;</w:t>
      </w:r>
    </w:p>
    <w:p>
      <w:pPr>
        <w:pStyle w:val="Pj"/>
        <w:shd w:val="clear" w:color="auto" w:fill="FFFFFF"/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>-проверять правильность и полноту оформления расчетных документов;</w:t>
      </w:r>
    </w:p>
    <w:p>
      <w:pPr>
        <w:pStyle w:val="Pj"/>
        <w:shd w:val="clear" w:color="auto" w:fill="FFFFFF"/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>-открывать и закрывать лицевые счета в валюте Российской Федерации; </w:t>
      </w:r>
    </w:p>
    <w:p>
      <w:pPr>
        <w:pStyle w:val="Pj"/>
        <w:shd w:val="clear" w:color="auto" w:fill="FFFFFF"/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>-рассчитывать прогноз кассовых оборотов;</w:t>
      </w:r>
    </w:p>
    <w:p>
      <w:pPr>
        <w:pStyle w:val="Pj"/>
        <w:shd w:val="clear" w:color="auto" w:fill="FFFFFF"/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>-составлять календарь выдачи наличных денег;</w:t>
      </w:r>
    </w:p>
    <w:p>
      <w:pPr>
        <w:pStyle w:val="Pj"/>
        <w:shd w:val="clear" w:color="auto" w:fill="FFFFFF"/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>-рассчитывать минимальный остаток денежной наличности в кассе;</w:t>
      </w:r>
    </w:p>
    <w:p>
      <w:pPr>
        <w:pStyle w:val="Pj"/>
        <w:shd w:val="clear" w:color="auto" w:fill="FFFFFF"/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>-составлять отчет о наличном денежном обороте;</w:t>
      </w:r>
    </w:p>
    <w:p>
      <w:pPr>
        <w:pStyle w:val="Pj"/>
        <w:shd w:val="clear" w:color="auto" w:fill="FFFFFF"/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>-устанавливать лимит остатков денежной наличности в кассах клиентов;</w:t>
      </w:r>
    </w:p>
    <w:p>
      <w:pPr>
        <w:pStyle w:val="Pj"/>
        <w:shd w:val="clear" w:color="auto" w:fill="FFFFFF"/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>-консультировать клиентов по вопросам открытия банковских счетов, расчетным операциям, операциям с использованием различных видов платежных карт;</w:t>
      </w:r>
    </w:p>
    <w:p>
      <w:pPr>
        <w:pStyle w:val="Pj"/>
        <w:shd w:val="clear" w:color="auto" w:fill="FFFFFF"/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>-оформлять выдачу клиентам платежных карт;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знать:</w:t>
      </w:r>
    </w:p>
    <w:p>
      <w:pPr>
        <w:pStyle w:val="Pj"/>
        <w:shd w:val="clear" w:color="auto" w:fill="FFFFFF"/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>
        <w:rPr>
          <w:color w:val="000000" w:themeColor="text1"/>
          <w:shd w:fill="FFFFFF" w:val="clear"/>
        </w:rPr>
        <w:t xml:space="preserve">нормативные правовые документы, регулирующие организацию безналичных </w:t>
      </w:r>
    </w:p>
    <w:p>
      <w:pPr>
        <w:pStyle w:val="Pj"/>
        <w:shd w:val="clear" w:color="auto" w:fill="FFFFFF"/>
        <w:spacing w:before="0" w:after="0"/>
        <w:jc w:val="both"/>
        <w:rPr>
          <w:color w:val="000000" w:themeColor="text1"/>
        </w:rPr>
      </w:pPr>
      <w:r>
        <w:rPr>
          <w:color w:val="000000" w:themeColor="text1"/>
          <w:highlight w:val="white"/>
        </w:rPr>
        <w:t>расчетов, организацию обслуживания счетов бюджетов бюджетной системы Российской Федерации, совершение операций с использованием платежных карт, операции по международным расчетам, связанным с экспортом и импортом товаров и услуг;</w:t>
      </w:r>
    </w:p>
    <w:p>
      <w:pPr>
        <w:pStyle w:val="Pj"/>
        <w:shd w:val="clear" w:color="auto" w:fill="FFFFFF"/>
        <w:spacing w:before="0" w:after="0"/>
        <w:jc w:val="both"/>
        <w:rPr>
          <w:color w:val="000000" w:themeColor="text1"/>
        </w:rPr>
      </w:pPr>
      <w:r>
        <w:rPr>
          <w:b/>
          <w:color w:val="000000" w:themeColor="text1"/>
        </w:rPr>
        <w:t>–</w:t>
      </w:r>
      <w:r>
        <w:rPr>
          <w:color w:val="000000" w:themeColor="text1"/>
        </w:rPr>
        <w:t>порядок   лимитирования  остатков денежной наличности в кассах клиентов;</w:t>
      </w:r>
    </w:p>
    <w:p>
      <w:pPr>
        <w:pStyle w:val="Pj"/>
        <w:shd w:val="clear" w:color="auto" w:fill="FFFFFF"/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>-формы расчетов и технологии совершения расчетных операций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  <w:highlight w:val="white"/>
        </w:rPr>
        <w:t>-содержание и порядок заполнения расчетных документов;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  <w:highlight w:val="white"/>
        </w:rPr>
        <w:t>-условия и порядок выдачи платежных карт;</w:t>
      </w:r>
    </w:p>
    <w:p>
      <w:pPr>
        <w:sectPr>
          <w:headerReference w:type="default" r:id="rId4"/>
          <w:footerReference w:type="default" r:id="rId5"/>
          <w:footerReference w:type="first" r:id="rId6"/>
          <w:type w:val="nextPage"/>
          <w:pgSz w:w="11906" w:h="16838"/>
          <w:pgMar w:left="1134" w:right="567" w:header="709" w:top="1134" w:footer="709" w:bottom="1134" w:gutter="0"/>
          <w:pgNumType w:start="1" w:fmt="decimal"/>
          <w:formProt w:val="false"/>
          <w:titlePg/>
          <w:textDirection w:val="lrTb"/>
          <w:docGrid w:type="default" w:linePitch="360" w:charSpace="0"/>
        </w:sect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 w:themeColor="text1"/>
        </w:rPr>
      </w:pPr>
      <w:r>
        <w:rPr>
          <w:color w:val="000000" w:themeColor="text1"/>
          <w:sz w:val="24"/>
          <w:szCs w:val="24"/>
          <w:highlight w:val="white"/>
        </w:rPr>
        <w:t>-законодательство Российской Федерации о противодействии легализации (отмыванию) доходов, полученных преступным путем, и финансированию терроризма</w:t>
      </w:r>
      <w:r>
        <w:rPr>
          <w:color w:val="000000" w:themeColor="text1"/>
          <w:sz w:val="24"/>
          <w:szCs w:val="24"/>
        </w:rPr>
        <w:t>.</w:t>
        <w:tab/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2"/>
        <w:spacing w:before="0"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bookmarkStart w:id="1" w:name="_Toc55953284"/>
      <w:r>
        <w:rPr>
          <w:rFonts w:ascii="Times New Roman" w:hAnsi="Times New Roman"/>
          <w:color w:val="000000" w:themeColor="text1"/>
          <w:sz w:val="24"/>
          <w:szCs w:val="24"/>
        </w:rPr>
        <w:t>Методическое обеспечение внеаудиторной самостоятельной работы</w:t>
      </w:r>
      <w:bookmarkEnd w:id="1"/>
    </w:p>
    <w:p>
      <w:pPr>
        <w:pStyle w:val="Normal"/>
        <w:rPr>
          <w:b/>
          <w:b/>
          <w:i/>
          <w:i/>
          <w:color w:val="000000" w:themeColor="text1"/>
        </w:rPr>
      </w:pPr>
      <w:r>
        <w:rPr>
          <w:b/>
          <w:i/>
          <w:color w:val="000000" w:themeColor="text1"/>
        </w:rPr>
      </w:r>
    </w:p>
    <w:tbl>
      <w:tblPr>
        <w:tblW w:w="148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612"/>
        <w:gridCol w:w="6054"/>
        <w:gridCol w:w="848"/>
        <w:gridCol w:w="3205"/>
        <w:gridCol w:w="2131"/>
      </w:tblGrid>
      <w:tr>
        <w:trPr/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Наименование темы</w:t>
            </w:r>
          </w:p>
        </w:tc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Кол-во</w:t>
            </w:r>
          </w:p>
          <w:p>
            <w:pPr>
              <w:pStyle w:val="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часов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Информационное обеспечение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Форма</w:t>
            </w:r>
          </w:p>
          <w:p>
            <w:pPr>
              <w:pStyle w:val="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контроля</w:t>
            </w:r>
          </w:p>
        </w:tc>
      </w:tr>
      <w:tr>
        <w:trPr/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17"/>
              <w:widowControl w:val="false"/>
              <w:ind w:left="0" w:hanging="0"/>
              <w:jc w:val="both"/>
              <w:rPr>
                <w:rFonts w:eastAsia="Calibri"/>
                <w:b/>
                <w:b/>
                <w:bCs/>
                <w:color w:val="000000" w:themeColor="text1"/>
              </w:rPr>
            </w:pPr>
            <w:r>
              <w:rPr>
                <w:rFonts w:eastAsia="Calibri"/>
                <w:b/>
                <w:bCs/>
                <w:color w:val="000000" w:themeColor="text1"/>
              </w:rPr>
              <w:t xml:space="preserve">Тема 2.1. </w:t>
            </w:r>
            <w:r>
              <w:rPr>
                <w:rFonts w:eastAsia="Calibri"/>
                <w:bCs/>
                <w:color w:val="000000" w:themeColor="text1"/>
              </w:rPr>
              <w:t>Подлинность  и платежеспособность денежных знаков. Приборы и оборудование для проверки подлинности денежных знаков</w:t>
            </w:r>
          </w:p>
        </w:tc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Работа с нормативной документацией и информацией сайтов банков</w:t>
            </w:r>
          </w:p>
          <w:p>
            <w:pPr>
              <w:pStyle w:val="Normal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284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left="284" w:hanging="284"/>
              <w:jc w:val="both"/>
              <w:rPr/>
            </w:pPr>
            <w:r>
              <w:rPr>
                <w:bCs/>
                <w:color w:val="000000" w:themeColor="text1"/>
                <w:sz w:val="24"/>
                <w:szCs w:val="24"/>
              </w:rPr>
              <w:t>www.</w:t>
            </w:r>
            <w:hyperlink r:id="rId7">
              <w:r>
                <w:rPr>
                  <w:rStyle w:val="Style11"/>
                  <w:bCs/>
                  <w:color w:val="000000" w:themeColor="text1"/>
                  <w:sz w:val="24"/>
                  <w:szCs w:val="24"/>
                </w:rPr>
                <w:t>consultant.ru</w:t>
              </w:r>
            </w:hyperlink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284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left="284" w:hanging="284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en-US"/>
              </w:rPr>
              <w:t>www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minfin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ru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284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left="284" w:hanging="284"/>
              <w:jc w:val="both"/>
              <w:rPr/>
            </w:pPr>
            <w:hyperlink r:id="rId8">
              <w:r>
                <w:rPr>
                  <w:rStyle w:val="Style11"/>
                  <w:color w:val="000000" w:themeColor="text1"/>
                  <w:sz w:val="24"/>
                  <w:szCs w:val="24"/>
                  <w:lang w:val="en-US"/>
                </w:rPr>
                <w:t>www</w:t>
              </w:r>
              <w:r>
                <w:rPr>
                  <w:rStyle w:val="Style11"/>
                  <w:color w:val="000000" w:themeColor="text1"/>
                  <w:sz w:val="24"/>
                  <w:szCs w:val="24"/>
                </w:rPr>
                <w:t>.</w:t>
              </w:r>
              <w:r>
                <w:rPr>
                  <w:rStyle w:val="Style11"/>
                  <w:color w:val="000000" w:themeColor="text1"/>
                  <w:sz w:val="24"/>
                  <w:szCs w:val="24"/>
                  <w:lang w:val="en-US"/>
                </w:rPr>
                <w:t>bankir</w:t>
              </w:r>
              <w:r>
                <w:rPr>
                  <w:rStyle w:val="Style11"/>
                  <w:color w:val="000000" w:themeColor="text1"/>
                  <w:sz w:val="24"/>
                  <w:szCs w:val="24"/>
                </w:rPr>
                <w:t>.</w:t>
              </w:r>
              <w:r>
                <w:rPr>
                  <w:rStyle w:val="Style11"/>
                  <w:color w:val="000000" w:themeColor="text1"/>
                  <w:sz w:val="24"/>
                  <w:szCs w:val="24"/>
                  <w:lang w:val="en-US"/>
                </w:rPr>
                <w:t>ru</w:t>
              </w:r>
            </w:hyperlink>
          </w:p>
          <w:p>
            <w:pPr>
              <w:pStyle w:val="Style2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Сайты банков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Письменный контроль в форме кратких выводов</w:t>
            </w:r>
          </w:p>
        </w:tc>
      </w:tr>
      <w:tr>
        <w:trPr>
          <w:trHeight w:val="2510" w:hRule="atLeast"/>
        </w:trPr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17"/>
              <w:widowControl w:val="false"/>
              <w:ind w:left="0" w:hanging="0"/>
              <w:jc w:val="both"/>
              <w:rPr>
                <w:rFonts w:eastAsia="Calibri"/>
                <w:b/>
                <w:b/>
                <w:bCs/>
                <w:color w:val="000000" w:themeColor="text1"/>
              </w:rPr>
            </w:pPr>
            <w:r>
              <w:rPr>
                <w:rFonts w:eastAsia="Calibri"/>
                <w:b/>
                <w:bCs/>
                <w:color w:val="000000" w:themeColor="text1"/>
              </w:rPr>
              <w:t>Тема 3.2</w:t>
            </w:r>
            <w:r>
              <w:rPr>
                <w:rFonts w:eastAsia="Calibri"/>
                <w:bCs/>
                <w:color w:val="000000" w:themeColor="text1"/>
              </w:rPr>
              <w:t>. Порядок совершения и документального оформления операций с памятными и инвестиционными монетами</w:t>
            </w:r>
            <w:r>
              <w:rPr>
                <w:rFonts w:eastAsia="Calibri"/>
                <w:b/>
                <w:bCs/>
                <w:color w:val="000000" w:themeColor="text1"/>
              </w:rPr>
              <w:t xml:space="preserve">  </w:t>
            </w:r>
          </w:p>
        </w:tc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Работа с нормативной документацией и информацией сайтов банков</w:t>
            </w:r>
          </w:p>
          <w:p>
            <w:pPr>
              <w:pStyle w:val="Normal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284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left="284" w:hanging="284"/>
              <w:jc w:val="both"/>
              <w:rPr/>
            </w:pPr>
            <w:r>
              <w:rPr>
                <w:bCs/>
                <w:color w:val="000000" w:themeColor="text1"/>
                <w:sz w:val="24"/>
                <w:szCs w:val="24"/>
              </w:rPr>
              <w:t>www.</w:t>
            </w:r>
            <w:hyperlink r:id="rId9">
              <w:r>
                <w:rPr>
                  <w:rStyle w:val="Style11"/>
                  <w:bCs/>
                  <w:color w:val="000000" w:themeColor="text1"/>
                  <w:sz w:val="24"/>
                  <w:szCs w:val="24"/>
                </w:rPr>
                <w:t>consultant.ru</w:t>
              </w:r>
            </w:hyperlink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284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left="284" w:hanging="284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en-US"/>
              </w:rPr>
              <w:t>www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minfin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ru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284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left="284" w:hanging="284"/>
              <w:jc w:val="both"/>
              <w:rPr/>
            </w:pPr>
            <w:hyperlink r:id="rId10">
              <w:r>
                <w:rPr>
                  <w:rStyle w:val="Style11"/>
                  <w:color w:val="000000" w:themeColor="text1"/>
                  <w:sz w:val="24"/>
                  <w:szCs w:val="24"/>
                  <w:lang w:val="en-US"/>
                </w:rPr>
                <w:t>www</w:t>
              </w:r>
              <w:r>
                <w:rPr>
                  <w:rStyle w:val="Style11"/>
                  <w:color w:val="000000" w:themeColor="text1"/>
                  <w:sz w:val="24"/>
                  <w:szCs w:val="24"/>
                </w:rPr>
                <w:t>.</w:t>
              </w:r>
              <w:r>
                <w:rPr>
                  <w:rStyle w:val="Style11"/>
                  <w:color w:val="000000" w:themeColor="text1"/>
                  <w:sz w:val="24"/>
                  <w:szCs w:val="24"/>
                  <w:lang w:val="en-US"/>
                </w:rPr>
                <w:t>bankir</w:t>
              </w:r>
              <w:r>
                <w:rPr>
                  <w:rStyle w:val="Style11"/>
                  <w:color w:val="000000" w:themeColor="text1"/>
                  <w:sz w:val="24"/>
                  <w:szCs w:val="24"/>
                </w:rPr>
                <w:t>.</w:t>
              </w:r>
              <w:r>
                <w:rPr>
                  <w:rStyle w:val="Style11"/>
                  <w:color w:val="000000" w:themeColor="text1"/>
                  <w:sz w:val="24"/>
                  <w:szCs w:val="24"/>
                  <w:lang w:val="en-US"/>
                </w:rPr>
                <w:t>ru</w:t>
              </w:r>
            </w:hyperlink>
          </w:p>
          <w:p>
            <w:pPr>
              <w:pStyle w:val="Style2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Сайты банков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Устный контроль в форме </w:t>
            </w:r>
          </w:p>
          <w:p>
            <w:pPr>
              <w:pStyle w:val="Style2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сообщения</w:t>
            </w:r>
          </w:p>
        </w:tc>
      </w:tr>
      <w:tr>
        <w:trPr>
          <w:trHeight w:val="70" w:hRule="atLeast"/>
        </w:trPr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17"/>
              <w:widowControl w:val="false"/>
              <w:jc w:val="both"/>
              <w:rPr>
                <w:rFonts w:eastAsia="Calibri"/>
                <w:b/>
                <w:b/>
                <w:bCs/>
                <w:color w:val="000000" w:themeColor="text1"/>
              </w:rPr>
            </w:pPr>
            <w:r>
              <w:rPr>
                <w:rFonts w:eastAsia="Calibri"/>
                <w:b/>
                <w:bCs/>
                <w:color w:val="000000" w:themeColor="text1"/>
              </w:rPr>
            </w:r>
          </w:p>
        </w:tc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7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r>
          </w:p>
        </w:tc>
      </w:tr>
    </w:tbl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sectPr>
          <w:headerReference w:type="default" r:id="rId11"/>
          <w:footerReference w:type="default" r:id="rId12"/>
          <w:type w:val="nextPage"/>
          <w:pgSz w:orient="landscape" w:w="16838" w:h="11906"/>
          <w:pgMar w:left="1134" w:right="818" w:header="709" w:top="1134" w:footer="709" w:bottom="851" w:gutter="0"/>
          <w:pgNumType w:fmt="decimal"/>
          <w:formProt w:val="false"/>
          <w:textDirection w:val="lrTb"/>
          <w:docGrid w:type="default" w:linePitch="360" w:charSpace="0"/>
        </w:sect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2"/>
        <w:spacing w:before="0" w:after="0"/>
        <w:jc w:val="center"/>
        <w:rPr>
          <w:rFonts w:ascii="Times New Roman" w:hAnsi="Times New Roman" w:eastAsia="Calibri"/>
          <w:color w:val="000000" w:themeColor="text1"/>
          <w:sz w:val="24"/>
          <w:szCs w:val="24"/>
        </w:rPr>
      </w:pPr>
      <w:bookmarkStart w:id="2" w:name="_Toc390852811"/>
      <w:r>
        <w:rPr>
          <w:rFonts w:eastAsia="Calibri" w:ascii="Times New Roman" w:hAnsi="Times New Roman"/>
          <w:color w:val="000000" w:themeColor="text1"/>
          <w:sz w:val="24"/>
          <w:szCs w:val="24"/>
        </w:rPr>
        <w:t xml:space="preserve">Методические указания по </w:t>
      </w:r>
      <w:bookmarkEnd w:id="2"/>
      <w:r>
        <w:rPr>
          <w:rFonts w:eastAsia="Calibri" w:ascii="Times New Roman" w:hAnsi="Times New Roman"/>
          <w:color w:val="000000" w:themeColor="text1"/>
          <w:sz w:val="24"/>
          <w:szCs w:val="24"/>
        </w:rPr>
        <w:t>выполнению самостоятельной работы</w:t>
      </w:r>
    </w:p>
    <w:p>
      <w:pPr>
        <w:pStyle w:val="Normal"/>
        <w:rPr>
          <w:rFonts w:eastAsia="Calibri"/>
          <w:b/>
          <w:b/>
          <w:color w:val="000000" w:themeColor="text1"/>
          <w:sz w:val="24"/>
          <w:szCs w:val="24"/>
        </w:rPr>
      </w:pPr>
      <w:r>
        <w:rPr>
          <w:rFonts w:eastAsia="Calibri"/>
          <w:b/>
          <w:color w:val="000000" w:themeColor="text1"/>
          <w:sz w:val="24"/>
          <w:szCs w:val="24"/>
        </w:rPr>
      </w:r>
    </w:p>
    <w:p>
      <w:pPr>
        <w:pStyle w:val="Normal"/>
        <w:spacing w:lineRule="auto" w:line="360" w:before="200" w:after="0"/>
        <w:ind w:firstLine="709"/>
        <w:contextualSpacing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Перед выполнением внеаудиторной самостоятельной работы преподаватель проводит инструктаж (консультацию) с определением цели задания, его содержания, сроков выполнения, основных требований к результатам работы, критериев оценки, форм контроля и перечня источников.</w:t>
      </w:r>
    </w:p>
    <w:p>
      <w:pPr>
        <w:pStyle w:val="Normal"/>
        <w:spacing w:lineRule="auto" w:line="360" w:before="200" w:after="0"/>
        <w:contextualSpacing/>
        <w:rPr>
          <w:b/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</w:r>
    </w:p>
    <w:p>
      <w:pPr>
        <w:pStyle w:val="Normal"/>
        <w:spacing w:lineRule="auto" w:line="360" w:before="200" w:after="0"/>
        <w:ind w:firstLine="709"/>
        <w:contextualSpacing/>
        <w:jc w:val="center"/>
        <w:rPr>
          <w:b/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Самостоятельная работа в Интернете</w:t>
      </w:r>
    </w:p>
    <w:p>
      <w:pPr>
        <w:pStyle w:val="Normal"/>
        <w:spacing w:lineRule="auto" w:line="360" w:before="200" w:after="0"/>
        <w:ind w:firstLine="708"/>
        <w:contextualSpacing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Новые информационные технологии (НИТ) могут использоваться для:</w:t>
      </w:r>
    </w:p>
    <w:p>
      <w:pPr>
        <w:pStyle w:val="Normal"/>
        <w:spacing w:lineRule="auto" w:line="360" w:before="200" w:after="0"/>
        <w:ind w:firstLine="708"/>
        <w:contextualSpacing/>
        <w:jc w:val="both"/>
        <w:rPr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поиска информации в сети</w:t>
      </w:r>
      <w:r>
        <w:rPr>
          <w:color w:val="000000" w:themeColor="text1"/>
          <w:sz w:val="24"/>
          <w:szCs w:val="24"/>
        </w:rPr>
        <w:t>– использование web-браузеров, баз данных, пользование информационно-поисковыми и информационно-справочными системами, автоматизированными  библиотечными системами, электронными журналами;</w:t>
      </w:r>
    </w:p>
    <w:p>
      <w:pPr>
        <w:pStyle w:val="Normal"/>
        <w:spacing w:lineRule="auto" w:line="360" w:before="200" w:after="0"/>
        <w:ind w:firstLine="708"/>
        <w:contextualSpacing/>
        <w:jc w:val="both"/>
        <w:rPr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организации диалога в сети</w:t>
      </w:r>
      <w:r>
        <w:rPr>
          <w:color w:val="000000" w:themeColor="text1"/>
          <w:sz w:val="24"/>
          <w:szCs w:val="24"/>
        </w:rPr>
        <w:t>– использование электронной почты, синхронных и отсроченных телеконференций;</w:t>
      </w:r>
    </w:p>
    <w:p>
      <w:pPr>
        <w:pStyle w:val="Normal"/>
        <w:spacing w:lineRule="auto" w:line="360" w:before="200" w:after="0"/>
        <w:contextualSpacing/>
        <w:jc w:val="both"/>
        <w:rPr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ab/>
      </w:r>
      <w:r>
        <w:rPr>
          <w:bCs/>
          <w:i/>
          <w:color w:val="000000" w:themeColor="text1"/>
          <w:sz w:val="24"/>
          <w:szCs w:val="24"/>
        </w:rPr>
        <w:t>Поиск и обработка информации:</w:t>
      </w:r>
      <w:r>
        <w:rPr>
          <w:color w:val="000000" w:themeColor="text1"/>
          <w:sz w:val="24"/>
          <w:szCs w:val="24"/>
        </w:rPr>
        <w:t>написание своего варианта плана лекции или ее фрагмента, составление библиографического списка, подготовка фрагмента практического занятия, подготовка доклада по теме, подготовка дискуссии по теме, работа в электронной библиотеке, в справочных системах.</w:t>
      </w:r>
    </w:p>
    <w:p>
      <w:pPr>
        <w:pStyle w:val="Normal"/>
        <w:spacing w:lineRule="auto" w:line="360" w:before="200" w:after="0"/>
        <w:contextualSpacing/>
        <w:jc w:val="both"/>
        <w:rPr>
          <w:bCs/>
          <w:i/>
          <w:i/>
          <w:color w:val="000000" w:themeColor="text1"/>
          <w:sz w:val="24"/>
          <w:szCs w:val="24"/>
        </w:rPr>
      </w:pPr>
      <w:r>
        <w:rPr>
          <w:bCs/>
          <w:i/>
          <w:color w:val="000000" w:themeColor="text1"/>
          <w:sz w:val="24"/>
          <w:szCs w:val="24"/>
        </w:rPr>
        <w:tab/>
        <w:t>Диалог в сети :</w:t>
      </w:r>
      <w:r>
        <w:rPr>
          <w:color w:val="000000" w:themeColor="text1"/>
          <w:sz w:val="24"/>
          <w:szCs w:val="24"/>
        </w:rPr>
        <w:t>обсуждение состоявшейся или предстоящей лекции в списке рассылки группы</w:t>
      </w:r>
      <w:r>
        <w:rPr>
          <w:bCs/>
          <w:i/>
          <w:color w:val="000000" w:themeColor="text1"/>
          <w:sz w:val="24"/>
          <w:szCs w:val="24"/>
        </w:rPr>
        <w:t xml:space="preserve">, </w:t>
      </w:r>
      <w:r>
        <w:rPr>
          <w:color w:val="000000" w:themeColor="text1"/>
          <w:sz w:val="24"/>
          <w:szCs w:val="24"/>
        </w:rPr>
        <w:t>общение в синхронной телеконференции (чате) со специалистами или студентами других групп или вузов, изучающих данную тему</w:t>
      </w:r>
      <w:r>
        <w:rPr>
          <w:bCs/>
          <w:i/>
          <w:color w:val="000000" w:themeColor="text1"/>
          <w:sz w:val="24"/>
          <w:szCs w:val="24"/>
        </w:rPr>
        <w:t xml:space="preserve">, </w:t>
      </w:r>
      <w:r>
        <w:rPr>
          <w:color w:val="000000" w:themeColor="text1"/>
          <w:sz w:val="24"/>
          <w:szCs w:val="24"/>
        </w:rPr>
        <w:t>обсуждение возникающих проблем в отсроченной телеконференции</w:t>
      </w:r>
      <w:r>
        <w:rPr>
          <w:bCs/>
          <w:i/>
          <w:color w:val="000000" w:themeColor="text1"/>
          <w:sz w:val="24"/>
          <w:szCs w:val="24"/>
        </w:rPr>
        <w:t xml:space="preserve">, </w:t>
      </w:r>
      <w:r>
        <w:rPr>
          <w:color w:val="000000" w:themeColor="text1"/>
          <w:sz w:val="24"/>
          <w:szCs w:val="24"/>
        </w:rPr>
        <w:t xml:space="preserve">консультации с преподавателем и другими студентами через социальные сети, систему </w:t>
      </w:r>
      <w:r>
        <w:rPr>
          <w:color w:val="000000" w:themeColor="text1"/>
          <w:sz w:val="24"/>
          <w:szCs w:val="24"/>
          <w:lang w:val="en-US"/>
        </w:rPr>
        <w:t>MOODL</w:t>
      </w:r>
      <w:r>
        <w:rPr>
          <w:color w:val="000000" w:themeColor="text1"/>
          <w:sz w:val="24"/>
          <w:szCs w:val="24"/>
        </w:rPr>
        <w:t>.</w:t>
      </w:r>
    </w:p>
    <w:p>
      <w:pPr>
        <w:pStyle w:val="Normal"/>
        <w:spacing w:lineRule="auto" w:line="360" w:before="200" w:after="0"/>
        <w:contextualSpacing/>
        <w:rPr>
          <w:b/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</w:r>
    </w:p>
    <w:p>
      <w:pPr>
        <w:pStyle w:val="Normal"/>
        <w:spacing w:lineRule="auto" w:line="360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Критерии оценки: </w:t>
      </w:r>
    </w:p>
    <w:p>
      <w:pPr>
        <w:pStyle w:val="Normal"/>
        <w:spacing w:lineRule="auto" w:line="360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Оценка «5» (отлично) выставляется в случае полного рассмотрения вопроса, аргументированного выражения своей позиции, отсутствия ошибок, грамотного текста, точность формулировок и т.д.; </w:t>
      </w:r>
    </w:p>
    <w:p>
      <w:pPr>
        <w:pStyle w:val="Normal"/>
        <w:spacing w:lineRule="auto" w:line="360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Оценка «4» (хорошо) выставляется в случае полного выполнения всего объема работ при наличии несущественных ошибок, не повлиявших на общий результат работы; </w:t>
      </w:r>
    </w:p>
    <w:p>
      <w:pPr>
        <w:pStyle w:val="Normal"/>
        <w:spacing w:lineRule="auto" w:line="360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Оценка «3» (удовлетворительно) выставляется в случае недостаточно полного рассмотрения проблемы, при наличии ошибок, которые не оказали существенного влияния на окончательный результат; </w:t>
      </w:r>
    </w:p>
    <w:p>
      <w:pPr>
        <w:pStyle w:val="Normal"/>
        <w:spacing w:lineRule="auto" w:line="360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Оценка «2» (неудовлетворительно) выставляется в случае, если тема не раскрыта, работа выполнена крайне небрежно и т.д.</w:t>
      </w:r>
    </w:p>
    <w:p>
      <w:pPr>
        <w:pStyle w:val="Style21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b/>
          <w:color w:val="000000" w:themeColor="text1"/>
        </w:rPr>
        <w:t>Учебно-методическое обеспечение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Нормативно – законодательные акты:</w:t>
      </w:r>
    </w:p>
    <w:p>
      <w:pPr>
        <w:pStyle w:val="Normal"/>
        <w:shd w:val="clear" w:color="auto" w:fill="FFFFFF"/>
        <w:tabs>
          <w:tab w:val="clear" w:pos="708"/>
          <w:tab w:val="left" w:pos="10773" w:leader="none"/>
        </w:tabs>
        <w:spacing w:before="200" w:after="30"/>
        <w:ind w:right="-850" w:hanging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1) Федеральный закон от 02.12.90 № 394-1 «О Центральном банке Россий</w:t>
      </w:r>
      <w:r>
        <w:rPr>
          <w:color w:val="000000" w:themeColor="text1"/>
          <w:spacing w:val="-1"/>
          <w:sz w:val="24"/>
          <w:szCs w:val="24"/>
        </w:rPr>
        <w:t xml:space="preserve">ской </w:t>
      </w:r>
    </w:p>
    <w:p>
      <w:pPr>
        <w:pStyle w:val="Normal"/>
        <w:shd w:val="clear" w:color="auto" w:fill="FFFFFF"/>
        <w:tabs>
          <w:tab w:val="clear" w:pos="708"/>
          <w:tab w:val="left" w:pos="10773" w:leader="none"/>
        </w:tabs>
        <w:spacing w:before="200" w:after="30"/>
        <w:ind w:left="-993" w:right="-850" w:firstLine="993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pacing w:val="-1"/>
          <w:sz w:val="24"/>
          <w:szCs w:val="24"/>
        </w:rPr>
        <w:t>Федерации (Банке России)» с изменениями и дополнениями.</w:t>
      </w:r>
    </w:p>
    <w:p>
      <w:pPr>
        <w:pStyle w:val="Normal"/>
        <w:shd w:val="clear" w:color="auto" w:fill="FFFFFF"/>
        <w:tabs>
          <w:tab w:val="clear" w:pos="708"/>
          <w:tab w:val="left" w:pos="10773" w:leader="none"/>
        </w:tabs>
        <w:spacing w:before="200" w:after="30"/>
        <w:ind w:right="-850" w:hanging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2) Федеральный закон от 02.12.90 № 395-1 «О банках и банковской деятельности»</w:t>
      </w:r>
    </w:p>
    <w:p>
      <w:pPr>
        <w:pStyle w:val="Normal"/>
        <w:shd w:val="clear" w:color="auto" w:fill="FFFFFF"/>
        <w:tabs>
          <w:tab w:val="clear" w:pos="708"/>
          <w:tab w:val="left" w:pos="10773" w:leader="none"/>
        </w:tabs>
        <w:spacing w:before="200" w:after="30"/>
        <w:ind w:right="-850" w:hanging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с изменениями и дополнениями.</w:t>
      </w:r>
    </w:p>
    <w:p>
      <w:pPr>
        <w:pStyle w:val="Normal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3)Федеральный закон Российской Федерации от 10.12.2003 № 173-ФЗ «О валютном регулировании и валютном контроле» с изменениями и дополнениями».</w:t>
      </w:r>
    </w:p>
    <w:p>
      <w:pPr>
        <w:pStyle w:val="Normal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4) </w:t>
      </w:r>
      <w:r>
        <w:rPr>
          <w:rStyle w:val="Blk"/>
          <w:color w:val="000000" w:themeColor="text1"/>
          <w:sz w:val="24"/>
          <w:szCs w:val="24"/>
        </w:rPr>
        <w:t xml:space="preserve">Федеральный закон от 27.06.2011 N 161-ФЗ (ред. от 03.07.2016) "О </w:t>
      </w:r>
      <w:r>
        <w:rPr>
          <w:rStyle w:val="B"/>
          <w:b w:val="false"/>
          <w:color w:val="000000" w:themeColor="text1"/>
          <w:sz w:val="24"/>
          <w:szCs w:val="24"/>
        </w:rPr>
        <w:t>национальной платежной системе</w:t>
      </w:r>
      <w:r>
        <w:rPr>
          <w:rStyle w:val="Blk"/>
          <w:color w:val="000000" w:themeColor="text1"/>
          <w:sz w:val="24"/>
          <w:szCs w:val="24"/>
        </w:rPr>
        <w:t>"</w:t>
      </w:r>
      <w:r>
        <w:rPr>
          <w:color w:val="000000" w:themeColor="text1"/>
          <w:sz w:val="24"/>
          <w:szCs w:val="24"/>
        </w:rPr>
        <w:t>с изменениями и дополнениями.</w:t>
      </w:r>
    </w:p>
    <w:p>
      <w:pPr>
        <w:pStyle w:val="Normal"/>
        <w:rPr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  <w:shd w:fill="FFFFFF" w:val="clear"/>
        </w:rPr>
        <w:t>5</w:t>
      </w:r>
      <w:r>
        <w:rPr>
          <w:bCs/>
          <w:color w:val="000000" w:themeColor="text1"/>
          <w:sz w:val="24"/>
          <w:szCs w:val="24"/>
          <w:shd w:fill="FFFFFF" w:val="clear"/>
        </w:rPr>
        <w:t>)Федеральный</w:t>
      </w:r>
      <w:r>
        <w:rPr>
          <w:color w:val="000000" w:themeColor="text1"/>
          <w:sz w:val="24"/>
          <w:szCs w:val="24"/>
          <w:shd w:fill="FFFFFF" w:val="clear"/>
        </w:rPr>
        <w:t> </w:t>
      </w:r>
      <w:r>
        <w:rPr>
          <w:bCs/>
          <w:color w:val="000000" w:themeColor="text1"/>
          <w:sz w:val="24"/>
          <w:szCs w:val="24"/>
          <w:shd w:fill="FFFFFF" w:val="clear"/>
        </w:rPr>
        <w:t>закон</w:t>
      </w:r>
      <w:r>
        <w:rPr>
          <w:color w:val="000000" w:themeColor="text1"/>
          <w:sz w:val="24"/>
          <w:szCs w:val="24"/>
          <w:shd w:fill="FFFFFF" w:val="clear"/>
        </w:rPr>
        <w:t> от 07.08.2001 N 115-</w:t>
      </w:r>
      <w:r>
        <w:rPr>
          <w:bCs/>
          <w:color w:val="000000" w:themeColor="text1"/>
          <w:sz w:val="24"/>
          <w:szCs w:val="24"/>
          <w:shd w:fill="FFFFFF" w:val="clear"/>
        </w:rPr>
        <w:t>ФЗ</w:t>
      </w:r>
      <w:r>
        <w:rPr>
          <w:color w:val="000000" w:themeColor="text1"/>
          <w:sz w:val="24"/>
          <w:szCs w:val="24"/>
          <w:shd w:fill="FFFFFF" w:val="clear"/>
        </w:rPr>
        <w:t> (ред. от 23.04.2018) "О противодействии </w:t>
      </w:r>
      <w:r>
        <w:rPr>
          <w:bCs/>
          <w:color w:val="000000" w:themeColor="text1"/>
          <w:sz w:val="24"/>
          <w:szCs w:val="24"/>
          <w:shd w:fill="FFFFFF" w:val="clear"/>
        </w:rPr>
        <w:t>легализации</w:t>
      </w:r>
      <w:r>
        <w:rPr>
          <w:color w:val="000000" w:themeColor="text1"/>
          <w:sz w:val="24"/>
          <w:szCs w:val="24"/>
          <w:shd w:fill="FFFFFF" w:val="clear"/>
        </w:rPr>
        <w:t> (отмыванию) </w:t>
      </w:r>
      <w:r>
        <w:rPr>
          <w:bCs/>
          <w:color w:val="000000" w:themeColor="text1"/>
          <w:sz w:val="24"/>
          <w:szCs w:val="24"/>
          <w:shd w:fill="FFFFFF" w:val="clear"/>
        </w:rPr>
        <w:t>доходов</w:t>
      </w:r>
      <w:r>
        <w:rPr>
          <w:color w:val="000000" w:themeColor="text1"/>
          <w:sz w:val="24"/>
          <w:szCs w:val="24"/>
          <w:shd w:fill="FFFFFF" w:val="clear"/>
        </w:rPr>
        <w:t>, </w:t>
      </w:r>
      <w:r>
        <w:rPr>
          <w:bCs/>
          <w:color w:val="000000" w:themeColor="text1"/>
          <w:sz w:val="24"/>
          <w:szCs w:val="24"/>
          <w:shd w:fill="FFFFFF" w:val="clear"/>
        </w:rPr>
        <w:t>полученных</w:t>
      </w:r>
      <w:r>
        <w:rPr>
          <w:color w:val="000000" w:themeColor="text1"/>
          <w:sz w:val="24"/>
          <w:szCs w:val="24"/>
          <w:shd w:fill="FFFFFF" w:val="clear"/>
        </w:rPr>
        <w:t> </w:t>
      </w:r>
      <w:r>
        <w:rPr>
          <w:bCs/>
          <w:color w:val="000000" w:themeColor="text1"/>
          <w:sz w:val="24"/>
          <w:szCs w:val="24"/>
          <w:shd w:fill="FFFFFF" w:val="clear"/>
        </w:rPr>
        <w:t>преступным</w:t>
      </w:r>
      <w:r>
        <w:rPr>
          <w:color w:val="000000" w:themeColor="text1"/>
          <w:sz w:val="24"/>
          <w:szCs w:val="24"/>
          <w:shd w:fill="FFFFFF" w:val="clear"/>
        </w:rPr>
        <w:t> </w:t>
      </w:r>
      <w:r>
        <w:rPr>
          <w:bCs/>
          <w:color w:val="000000" w:themeColor="text1"/>
          <w:sz w:val="24"/>
          <w:szCs w:val="24"/>
          <w:shd w:fill="FFFFFF" w:val="clear"/>
        </w:rPr>
        <w:t>путем</w:t>
      </w:r>
      <w:r>
        <w:rPr>
          <w:color w:val="000000" w:themeColor="text1"/>
          <w:sz w:val="24"/>
          <w:szCs w:val="24"/>
          <w:shd w:fill="FFFFFF" w:val="clear"/>
        </w:rPr>
        <w:t>, и финансированию терроризма»</w:t>
      </w:r>
    </w:p>
    <w:p>
      <w:pPr>
        <w:pStyle w:val="Normal"/>
        <w:shd w:val="clear" w:color="auto" w:fill="FFFFFF"/>
        <w:tabs>
          <w:tab w:val="clear" w:pos="708"/>
          <w:tab w:val="left" w:pos="10773" w:leader="none"/>
        </w:tabs>
        <w:spacing w:before="200" w:after="30"/>
        <w:ind w:left="-993" w:right="-850" w:firstLine="993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pacing w:val="-1"/>
          <w:sz w:val="24"/>
          <w:szCs w:val="24"/>
        </w:rPr>
        <w:t>6).Гражданский кодекс Российской Федерации с изменениями и дополне</w:t>
      </w:r>
      <w:r>
        <w:rPr>
          <w:color w:val="000000" w:themeColor="text1"/>
          <w:spacing w:val="-4"/>
          <w:sz w:val="24"/>
          <w:szCs w:val="24"/>
        </w:rPr>
        <w:t>ниями, Ч. 1, II.</w:t>
      </w:r>
    </w:p>
    <w:p>
      <w:pPr>
        <w:pStyle w:val="1"/>
        <w:shd w:val="clear" w:color="auto" w:fill="FFFFFF"/>
        <w:ind w:hanging="0"/>
        <w:jc w:val="both"/>
        <w:rPr>
          <w:color w:val="000000" w:themeColor="text1"/>
        </w:rPr>
      </w:pPr>
      <w:r>
        <w:rPr>
          <w:bCs/>
          <w:color w:val="000000" w:themeColor="text1"/>
          <w:shd w:fill="FFFFFF" w:val="clear"/>
        </w:rPr>
        <w:t>7).Положение</w:t>
      </w:r>
      <w:r>
        <w:rPr>
          <w:color w:val="000000" w:themeColor="text1"/>
          <w:shd w:fill="FFFFFF" w:val="clear"/>
        </w:rPr>
        <w:t> </w:t>
      </w:r>
      <w:r>
        <w:rPr>
          <w:bCs/>
          <w:color w:val="000000" w:themeColor="text1"/>
          <w:shd w:fill="FFFFFF" w:val="clear"/>
        </w:rPr>
        <w:t>Банка</w:t>
      </w:r>
      <w:r>
        <w:rPr>
          <w:color w:val="000000" w:themeColor="text1"/>
          <w:shd w:fill="FFFFFF" w:val="clear"/>
        </w:rPr>
        <w:t> </w:t>
      </w:r>
      <w:r>
        <w:rPr>
          <w:bCs/>
          <w:color w:val="000000" w:themeColor="text1"/>
          <w:shd w:fill="FFFFFF" w:val="clear"/>
        </w:rPr>
        <w:t>России</w:t>
      </w:r>
      <w:r>
        <w:rPr>
          <w:color w:val="000000" w:themeColor="text1"/>
          <w:shd w:fill="FFFFFF" w:val="clear"/>
        </w:rPr>
        <w:t> от 27 февраля 2017 г. </w:t>
      </w:r>
      <w:r>
        <w:rPr>
          <w:bCs/>
          <w:color w:val="000000" w:themeColor="text1"/>
          <w:shd w:fill="FFFFFF" w:val="clear"/>
        </w:rPr>
        <w:t>N</w:t>
      </w:r>
      <w:r>
        <w:rPr>
          <w:color w:val="000000" w:themeColor="text1"/>
          <w:shd w:fill="FFFFFF" w:val="clear"/>
        </w:rPr>
        <w:t> </w:t>
      </w:r>
      <w:r>
        <w:rPr>
          <w:bCs/>
          <w:color w:val="000000" w:themeColor="text1"/>
          <w:shd w:fill="FFFFFF" w:val="clear"/>
        </w:rPr>
        <w:t>579</w:t>
      </w:r>
      <w:r>
        <w:rPr>
          <w:color w:val="000000" w:themeColor="text1"/>
          <w:shd w:fill="FFFFFF" w:val="clear"/>
        </w:rPr>
        <w:t>-</w:t>
      </w:r>
      <w:r>
        <w:rPr>
          <w:bCs/>
          <w:color w:val="000000" w:themeColor="text1"/>
          <w:shd w:fill="FFFFFF" w:val="clear"/>
        </w:rPr>
        <w:t>П</w:t>
      </w:r>
      <w:r>
        <w:rPr>
          <w:color w:val="000000" w:themeColor="text1"/>
          <w:shd w:fill="FFFFFF" w:val="clear"/>
        </w:rPr>
        <w:t> "О Плане счетов бухгалтерского учета для кредитных организаций и порядке его применения".</w:t>
      </w:r>
    </w:p>
    <w:p>
      <w:pPr>
        <w:pStyle w:val="1"/>
        <w:shd w:val="clear" w:color="auto" w:fill="FFFFFF"/>
        <w:ind w:hanging="0"/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8). </w:t>
      </w:r>
      <w:r>
        <w:rPr>
          <w:bCs/>
          <w:color w:val="000000" w:themeColor="text1"/>
          <w:shd w:fill="FFFFFF" w:val="clear"/>
        </w:rPr>
        <w:t>Положение</w:t>
      </w:r>
      <w:r>
        <w:rPr>
          <w:color w:val="000000" w:themeColor="text1"/>
          <w:shd w:fill="FFFFFF" w:val="clear"/>
        </w:rPr>
        <w:t> о порядке ведения кассовых операций и правилах хранения, перевозки и инкассации банкнот и монеты </w:t>
      </w:r>
      <w:r>
        <w:rPr>
          <w:bCs/>
          <w:color w:val="000000" w:themeColor="text1"/>
          <w:shd w:fill="FFFFFF" w:val="clear"/>
        </w:rPr>
        <w:t>Банка</w:t>
      </w:r>
      <w:r>
        <w:rPr>
          <w:color w:val="000000" w:themeColor="text1"/>
          <w:shd w:fill="FFFFFF" w:val="clear"/>
        </w:rPr>
        <w:t> </w:t>
      </w:r>
      <w:r>
        <w:rPr>
          <w:bCs/>
          <w:color w:val="000000" w:themeColor="text1"/>
          <w:shd w:fill="FFFFFF" w:val="clear"/>
        </w:rPr>
        <w:t>России</w:t>
      </w:r>
      <w:r>
        <w:rPr>
          <w:color w:val="000000" w:themeColor="text1"/>
          <w:shd w:fill="FFFFFF" w:val="clear"/>
        </w:rPr>
        <w:t> в кредитных организациях на территории </w:t>
      </w:r>
      <w:r>
        <w:rPr>
          <w:bCs/>
          <w:color w:val="000000" w:themeColor="text1"/>
          <w:shd w:fill="FFFFFF" w:val="clear"/>
        </w:rPr>
        <w:t>Российской</w:t>
      </w:r>
      <w:r>
        <w:rPr>
          <w:color w:val="000000" w:themeColor="text1"/>
          <w:shd w:fill="FFFFFF" w:val="clear"/>
        </w:rPr>
        <w:t xml:space="preserve">  </w:t>
      </w:r>
      <w:r>
        <w:rPr>
          <w:bCs/>
          <w:color w:val="000000" w:themeColor="text1"/>
          <w:shd w:fill="FFFFFF" w:val="clear"/>
        </w:rPr>
        <w:t>Федерации</w:t>
      </w:r>
      <w:r>
        <w:rPr>
          <w:color w:val="000000" w:themeColor="text1"/>
          <w:shd w:fill="FFFFFF" w:val="clear"/>
        </w:rPr>
        <w:t>" (утв. </w:t>
      </w:r>
      <w:r>
        <w:rPr>
          <w:bCs/>
          <w:color w:val="000000" w:themeColor="text1"/>
          <w:shd w:fill="FFFFFF" w:val="clear"/>
        </w:rPr>
        <w:t>Банком</w:t>
      </w:r>
      <w:r>
        <w:rPr>
          <w:color w:val="000000" w:themeColor="text1"/>
          <w:shd w:fill="FFFFFF" w:val="clear"/>
        </w:rPr>
        <w:t> </w:t>
      </w:r>
      <w:r>
        <w:rPr>
          <w:bCs/>
          <w:color w:val="000000" w:themeColor="text1"/>
          <w:shd w:fill="FFFFFF" w:val="clear"/>
        </w:rPr>
        <w:t>России</w:t>
      </w:r>
      <w:r>
        <w:rPr>
          <w:color w:val="000000" w:themeColor="text1"/>
          <w:shd w:fill="FFFFFF" w:val="clear"/>
        </w:rPr>
        <w:t> 29.01.2018 N </w:t>
      </w:r>
      <w:r>
        <w:rPr>
          <w:bCs/>
          <w:color w:val="000000" w:themeColor="text1"/>
          <w:shd w:fill="FFFFFF" w:val="clear"/>
        </w:rPr>
        <w:t>630</w:t>
      </w:r>
      <w:r>
        <w:rPr>
          <w:color w:val="000000" w:themeColor="text1"/>
          <w:shd w:fill="FFFFFF" w:val="clear"/>
        </w:rPr>
        <w:t xml:space="preserve">-П). </w:t>
      </w:r>
    </w:p>
    <w:p>
      <w:pPr>
        <w:pStyle w:val="Headertext"/>
        <w:shd w:val="clear" w:color="auto" w:fill="FFFFFF"/>
        <w:spacing w:lineRule="atLeast" w:line="288"/>
        <w:jc w:val="both"/>
        <w:rPr>
          <w:color w:val="000000" w:themeColor="text1"/>
        </w:rPr>
      </w:pPr>
      <w:r>
        <w:rPr>
          <w:b/>
          <w:bCs/>
          <w:color w:val="000000" w:themeColor="text1"/>
        </w:rPr>
        <w:t>Основная литература:</w:t>
      </w:r>
    </w:p>
    <w:p>
      <w:pPr>
        <w:pStyle w:val="Normal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1.Курныкина, Н.Э. Соколинская, С.В. Зубкова. — Москва : КноРус, 2021. — 225 с. — ISBN 978-5-406-03007-3. — URL:https://book.ru/book/936305 </w:t>
      </w:r>
    </w:p>
    <w:p>
      <w:pPr>
        <w:pStyle w:val="Normal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2.Курныкина, О.В., Организация бухгалтерского учета в банках : учебник / О.В. Курныкина, Н.Э. Соколинская. — Москва : КноРус, 2022. — 232 с. — ISBN 978-5-406-09878-3. — URL:https://book.ru/book/943905 </w:t>
      </w:r>
    </w:p>
    <w:p>
      <w:pPr>
        <w:pStyle w:val="Normal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3.Костюкова, Е.И., Организация бухгалтерского учета в банках. : учебное пособие / Е.И. Костюкова, А.В. Фролов, А.А. Фролова. — Москва : КноРус, 2021. — 247 с. — ISBN 978-5-406-03082-0. — URL:https://book.ru/book/93631</w:t>
      </w:r>
    </w:p>
    <w:p>
      <w:pPr>
        <w:pStyle w:val="Normal"/>
        <w:jc w:val="both"/>
        <w:rPr/>
      </w:pPr>
      <w:r>
        <w:rPr>
          <w:color w:val="000000" w:themeColor="text1"/>
          <w:sz w:val="24"/>
          <w:szCs w:val="24"/>
          <w:shd w:fill="FFFFFF" w:val="clear"/>
        </w:rPr>
        <w:t>4.Банковское дело в 2 ч. Часть 1 : учебник для вузов / Н. Н. Мартыненко, О. М. Маркова, О. С. Рудакова, Н. В. Сергеева ; под редакцией Н. Н. Мартыненко. — 2-е изд., испр. и доп. — Москва : Издательство Юрайт, 2022. — 217 с. — (Высшее образование). — ISBN 978-5-534-08398-9. — Текст : электронный // Образовательная платформа Юрайт [сайт]. — URL: </w:t>
      </w:r>
      <w:hyperlink r:id="rId13" w:tgtFrame="_blank">
        <w:r>
          <w:rPr>
            <w:rStyle w:val="Style11"/>
            <w:color w:val="000000" w:themeColor="text1"/>
            <w:sz w:val="24"/>
            <w:szCs w:val="24"/>
            <w:highlight w:val="white"/>
          </w:rPr>
          <w:t>https://urait.ru/bcode/490823</w:t>
        </w:r>
      </w:hyperlink>
    </w:p>
    <w:p>
      <w:pPr>
        <w:pStyle w:val="Normal"/>
        <w:jc w:val="both"/>
        <w:rPr/>
      </w:pPr>
      <w:r>
        <w:rPr>
          <w:color w:val="000000" w:themeColor="text1"/>
          <w:sz w:val="24"/>
          <w:szCs w:val="24"/>
          <w:shd w:fill="FFFFFF" w:val="clear"/>
        </w:rPr>
        <w:t>5.Банковское дело в 2 ч. Часть 2 : учебник для среднего профессионального образования / Н. Н. Мартыненко, О. М. Маркова, О. С. Рудакова, Н. В. Сергеева. — 2-е изд., испр. и доп. — Москва : Издательство Юрайт, 2022. — 368 с. — (Профессиональное образование). — ISBN 978-5-534-08471-9. — Текст : электронный // Образовательная платформа Юрайт [сайт]. — URL: </w:t>
      </w:r>
      <w:hyperlink r:id="rId14" w:tgtFrame="_blank">
        <w:r>
          <w:rPr>
            <w:rStyle w:val="Style11"/>
            <w:color w:val="000000" w:themeColor="text1"/>
            <w:sz w:val="24"/>
            <w:szCs w:val="24"/>
            <w:highlight w:val="white"/>
          </w:rPr>
          <w:t>https://urait.ru/bcode/491089</w:t>
        </w:r>
      </w:hyperlink>
    </w:p>
    <w:p>
      <w:pPr>
        <w:pStyle w:val="Normal"/>
        <w:jc w:val="both"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  <w:highlight w:val="white"/>
        </w:rPr>
        <w:t>Интернет – ресурсы: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284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284" w:hanging="284"/>
        <w:jc w:val="both"/>
        <w:rPr/>
      </w:pPr>
      <w:r>
        <w:rPr>
          <w:bCs/>
          <w:color w:val="000000" w:themeColor="text1"/>
          <w:sz w:val="24"/>
          <w:szCs w:val="24"/>
        </w:rPr>
        <w:t>www.</w:t>
      </w:r>
      <w:hyperlink r:id="rId15">
        <w:r>
          <w:rPr>
            <w:rStyle w:val="Style11"/>
            <w:bCs/>
            <w:color w:val="000000" w:themeColor="text1"/>
            <w:sz w:val="24"/>
            <w:szCs w:val="24"/>
          </w:rPr>
          <w:t>consultant.ru</w:t>
        </w:r>
      </w:hyperlink>
    </w:p>
    <w:p>
      <w:pPr>
        <w:pStyle w:val="Normal"/>
        <w:numPr>
          <w:ilvl w:val="0"/>
          <w:numId w:val="2"/>
        </w:numPr>
        <w:tabs>
          <w:tab w:val="clear" w:pos="708"/>
          <w:tab w:val="left" w:pos="284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284" w:hanging="284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  <w:lang w:val="en-US"/>
        </w:rPr>
        <w:t>www</w:t>
      </w:r>
      <w:r>
        <w:rPr>
          <w:color w:val="000000" w:themeColor="text1"/>
          <w:sz w:val="24"/>
          <w:szCs w:val="24"/>
        </w:rPr>
        <w:t>.</w:t>
      </w:r>
      <w:r>
        <w:rPr>
          <w:color w:val="000000" w:themeColor="text1"/>
          <w:sz w:val="24"/>
          <w:szCs w:val="24"/>
          <w:lang w:val="en-US"/>
        </w:rPr>
        <w:t>minfin</w:t>
      </w:r>
      <w:r>
        <w:rPr>
          <w:color w:val="000000" w:themeColor="text1"/>
          <w:sz w:val="24"/>
          <w:szCs w:val="24"/>
        </w:rPr>
        <w:t>.</w:t>
      </w:r>
      <w:r>
        <w:rPr>
          <w:color w:val="000000" w:themeColor="text1"/>
          <w:sz w:val="24"/>
          <w:szCs w:val="24"/>
          <w:lang w:val="en-US"/>
        </w:rPr>
        <w:t>ru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284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284" w:hanging="284"/>
        <w:jc w:val="both"/>
        <w:rPr/>
      </w:pPr>
      <w:hyperlink r:id="rId16">
        <w:r>
          <w:rPr>
            <w:rStyle w:val="Style11"/>
            <w:color w:val="000000" w:themeColor="text1"/>
            <w:sz w:val="24"/>
            <w:szCs w:val="24"/>
            <w:lang w:val="en-US"/>
          </w:rPr>
          <w:t>www</w:t>
        </w:r>
        <w:r>
          <w:rPr>
            <w:rStyle w:val="Style11"/>
            <w:color w:val="000000" w:themeColor="text1"/>
            <w:sz w:val="24"/>
            <w:szCs w:val="24"/>
          </w:rPr>
          <w:t>.</w:t>
        </w:r>
        <w:r>
          <w:rPr>
            <w:rStyle w:val="Style11"/>
            <w:color w:val="000000" w:themeColor="text1"/>
            <w:sz w:val="24"/>
            <w:szCs w:val="24"/>
            <w:lang w:val="en-US"/>
          </w:rPr>
          <w:t>bankir</w:t>
        </w:r>
        <w:r>
          <w:rPr>
            <w:rStyle w:val="Style11"/>
            <w:color w:val="000000" w:themeColor="text1"/>
            <w:sz w:val="24"/>
            <w:szCs w:val="24"/>
          </w:rPr>
          <w:t>.</w:t>
        </w:r>
        <w:r>
          <w:rPr>
            <w:rStyle w:val="Style11"/>
            <w:color w:val="000000" w:themeColor="text1"/>
            <w:sz w:val="24"/>
            <w:szCs w:val="24"/>
            <w:lang w:val="en-US"/>
          </w:rPr>
          <w:t>ru</w:t>
        </w:r>
      </w:hyperlink>
    </w:p>
    <w:p>
      <w:pPr>
        <w:pStyle w:val="Normal"/>
        <w:numPr>
          <w:ilvl w:val="0"/>
          <w:numId w:val="2"/>
        </w:numPr>
        <w:tabs>
          <w:tab w:val="clear" w:pos="708"/>
          <w:tab w:val="left" w:pos="284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284" w:hanging="284"/>
        <w:jc w:val="both"/>
        <w:rPr/>
      </w:pPr>
      <w:hyperlink r:id="rId17">
        <w:r>
          <w:rPr>
            <w:rStyle w:val="Style11"/>
            <w:color w:val="000000" w:themeColor="text1"/>
            <w:sz w:val="24"/>
            <w:szCs w:val="24"/>
            <w:lang w:val="en-US"/>
          </w:rPr>
          <w:t>www</w:t>
        </w:r>
        <w:r>
          <w:rPr>
            <w:rStyle w:val="Style11"/>
            <w:color w:val="000000" w:themeColor="text1"/>
            <w:sz w:val="24"/>
            <w:szCs w:val="24"/>
          </w:rPr>
          <w:t>.</w:t>
        </w:r>
        <w:r>
          <w:rPr>
            <w:rStyle w:val="Style11"/>
            <w:color w:val="000000" w:themeColor="text1"/>
            <w:sz w:val="24"/>
            <w:szCs w:val="24"/>
            <w:lang w:val="en-US"/>
          </w:rPr>
          <w:t>cbr</w:t>
        </w:r>
        <w:r>
          <w:rPr>
            <w:rStyle w:val="Style11"/>
            <w:color w:val="000000" w:themeColor="text1"/>
            <w:sz w:val="24"/>
            <w:szCs w:val="24"/>
          </w:rPr>
          <w:t>.</w:t>
        </w:r>
        <w:r>
          <w:rPr>
            <w:rStyle w:val="Style11"/>
            <w:color w:val="000000" w:themeColor="text1"/>
            <w:sz w:val="24"/>
            <w:szCs w:val="24"/>
            <w:lang w:val="en-US"/>
          </w:rPr>
          <w:t>ru</w:t>
        </w:r>
      </w:hyperlink>
    </w:p>
    <w:sectPr>
      <w:headerReference w:type="default" r:id="rId18"/>
      <w:footerReference w:type="default" r:id="rId19"/>
      <w:type w:val="nextPage"/>
      <w:pgSz w:w="11906" w:h="16838"/>
      <w:pgMar w:left="1701" w:right="850" w:header="708" w:top="1134" w:footer="708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alibri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>
        <w:sz w:val="24"/>
        <w:szCs w:val="24"/>
      </w:rPr>
      <w:fldChar w:fldCharType="begin"/>
    </w:r>
    <w:r>
      <w:rPr>
        <w:sz w:val="24"/>
        <w:szCs w:val="24"/>
      </w:rPr>
      <w:instrText> PAGE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>4</w:t>
    </w:r>
    <w:r>
      <w:rPr>
        <w:sz w:val="24"/>
        <w:szCs w:val="24"/>
      </w:rPr>
      <w:fldChar w:fldCharType="end"/>
    </w:r>
  </w:p>
  <w:p>
    <w:pPr>
      <w:pStyle w:val="Style24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/>
    </w:r>
  </w:p>
  <w:p>
    <w:pPr>
      <w:pStyle w:val="Style24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>
        <w:sz w:val="24"/>
        <w:szCs w:val="24"/>
      </w:rPr>
      <w:fldChar w:fldCharType="begin"/>
    </w:r>
    <w:r>
      <w:rPr>
        <w:sz w:val="24"/>
        <w:szCs w:val="24"/>
      </w:rPr>
      <w:instrText> PAGE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>5</w:t>
    </w:r>
    <w:r>
      <w:rPr>
        <w:sz w:val="24"/>
        <w:szCs w:val="24"/>
      </w:rPr>
      <w:fldChar w:fldCharType="end"/>
    </w:r>
  </w:p>
  <w:p>
    <w:pPr>
      <w:pStyle w:val="Style24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>
        <w:sz w:val="24"/>
        <w:szCs w:val="24"/>
      </w:rPr>
      <w:fldChar w:fldCharType="begin"/>
    </w:r>
    <w:r>
      <w:rPr>
        <w:sz w:val="24"/>
        <w:szCs w:val="24"/>
      </w:rPr>
      <w:instrText> PAGE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>7</w:t>
    </w:r>
    <w:r>
      <w:rPr>
        <w:sz w:val="24"/>
        <w:szCs w:val="24"/>
      </w:rPr>
      <w:fldChar w:fldCharType="end"/>
    </w:r>
  </w:p>
  <w:p>
    <w:pPr>
      <w:pStyle w:val="Style24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204470"/>
              <wp:effectExtent l="0" t="0" r="0" b="0"/>
              <wp:wrapSquare wrapText="largest"/>
              <wp:docPr id="3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20447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3"/>
                            <w:pBdr/>
                            <w:rPr>
                              <w:rStyle w:val="Style10"/>
                            </w:rPr>
                          </w:pPr>
                          <w:r>
                            <w:rPr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.15pt;height:16.1pt;mso-wrap-distance-left:0pt;mso-wrap-distance-right:0pt;mso-wrap-distance-top:0pt;mso-wrap-distance-bottom:0pt;margin-top:0.05pt;mso-position-vertical-relative:text;margin-left:254.55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23"/>
                      <w:pBdr/>
                      <w:rPr>
                        <w:rStyle w:val="Style10"/>
                      </w:rPr>
                    </w:pPr>
                    <w:r>
                      <w:rPr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8"/>
        <w:lang w:val="en-US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link w:val="690"/>
    <w:qFormat/>
    <w:pPr>
      <w:widowControl/>
      <w:bidi w:val="0"/>
      <w:jc w:val="left"/>
    </w:pPr>
    <w:rPr>
      <w:rFonts w:eastAsia="Times New Roman" w:ascii="Times New Roman" w:hAnsi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1">
    <w:name w:val="Heading 1"/>
    <w:basedOn w:val="Normal"/>
    <w:link w:val="690"/>
    <w:qFormat/>
    <w:pPr>
      <w:keepNext w:val="true"/>
      <w:ind w:firstLine="284"/>
    </w:pPr>
    <w:rPr>
      <w:sz w:val="24"/>
      <w:szCs w:val="24"/>
      <w:lang w:eastAsia="zh-CN"/>
    </w:rPr>
  </w:style>
  <w:style w:type="paragraph" w:styleId="2">
    <w:name w:val="Heading 2"/>
    <w:basedOn w:val="Normal"/>
    <w:link w:val="696"/>
    <w:uiPriority w:val="9"/>
    <w:unhideWhenUsed/>
    <w:qFormat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val="en-US"/>
    </w:rPr>
  </w:style>
  <w:style w:type="paragraph" w:styleId="3">
    <w:name w:val="Heading 3"/>
    <w:basedOn w:val="Normal"/>
    <w:link w:val="18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link w:val="20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link w:val="22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link w:val="24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link w:val="26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link w:val="28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link w:val="30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link w:val="722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link w:val="15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link w:val="17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link w:val="19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link w:val="21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link w:val="23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link w:val="25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link w:val="27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link w:val="29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link w:val="34"/>
    <w:uiPriority w:val="10"/>
    <w:qFormat/>
    <w:rPr>
      <w:sz w:val="48"/>
      <w:szCs w:val="48"/>
    </w:rPr>
  </w:style>
  <w:style w:type="character" w:styleId="SubtitleChar">
    <w:name w:val="Subtitle Char"/>
    <w:link w:val="36"/>
    <w:uiPriority w:val="11"/>
    <w:qFormat/>
    <w:rPr>
      <w:sz w:val="24"/>
      <w:szCs w:val="24"/>
    </w:rPr>
  </w:style>
  <w:style w:type="character" w:styleId="QuoteChar">
    <w:name w:val="Quote Char"/>
    <w:link w:val="38"/>
    <w:uiPriority w:val="29"/>
    <w:qFormat/>
    <w:rPr>
      <w:i/>
    </w:rPr>
  </w:style>
  <w:style w:type="character" w:styleId="IntenseQuoteChar">
    <w:name w:val="Intense Quote Char"/>
    <w:link w:val="40"/>
    <w:uiPriority w:val="30"/>
    <w:qFormat/>
    <w:rPr>
      <w:i/>
    </w:rPr>
  </w:style>
  <w:style w:type="character" w:styleId="HeaderChar">
    <w:name w:val="Header Char"/>
    <w:link w:val="42"/>
    <w:uiPriority w:val="99"/>
    <w:qFormat/>
    <w:rPr/>
  </w:style>
  <w:style w:type="character" w:styleId="FooterChar">
    <w:name w:val="Footer Char"/>
    <w:link w:val="44"/>
    <w:uiPriority w:val="99"/>
    <w:qFormat/>
    <w:rPr/>
  </w:style>
  <w:style w:type="character" w:styleId="CaptionChar">
    <w:name w:val="Caption Char"/>
    <w:link w:val="44"/>
    <w:uiPriority w:val="99"/>
    <w:qFormat/>
    <w:rPr/>
  </w:style>
  <w:style w:type="character" w:styleId="Style5">
    <w:name w:val="Интернет-ссылка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link w:val="175"/>
    <w:uiPriority w:val="99"/>
    <w:qFormat/>
    <w:rPr>
      <w:sz w:val="18"/>
    </w:rPr>
  </w:style>
  <w:style w:type="character" w:styleId="Style6">
    <w:name w:val="Привязка сноски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EndnoteTextChar">
    <w:name w:val="Endnote Text Char"/>
    <w:link w:val="178"/>
    <w:uiPriority w:val="99"/>
    <w:qFormat/>
    <w:rPr>
      <w:sz w:val="20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Style8">
    <w:name w:val="Основной шрифт абзаца"/>
    <w:link w:val="690"/>
    <w:uiPriority w:val="1"/>
    <w:semiHidden/>
    <w:unhideWhenUsed/>
    <w:qFormat/>
    <w:rPr/>
  </w:style>
  <w:style w:type="character" w:styleId="21">
    <w:name w:val="Заголовок 2 Знак"/>
    <w:link w:val="692"/>
    <w:uiPriority w:val="9"/>
    <w:qFormat/>
    <w:rPr>
      <w:rFonts w:ascii="Cambria" w:hAnsi="Cambria" w:eastAsia="Times New Roman" w:cs="Times New Roman"/>
      <w:b/>
      <w:bCs/>
      <w:color w:val="4F81BD"/>
      <w:sz w:val="26"/>
      <w:szCs w:val="26"/>
      <w:lang w:eastAsia="ru-RU"/>
    </w:rPr>
  </w:style>
  <w:style w:type="character" w:styleId="Style9">
    <w:name w:val="Верхний колонтитул Знак"/>
    <w:link w:val="697"/>
    <w:qFormat/>
    <w:rPr>
      <w:rFonts w:eastAsia="Times New Roman" w:cs="Times New Roman"/>
      <w:sz w:val="28"/>
      <w:szCs w:val="28"/>
      <w:lang w:eastAsia="ru-RU"/>
    </w:rPr>
  </w:style>
  <w:style w:type="character" w:styleId="Style10">
    <w:name w:val="Номер страницы"/>
    <w:basedOn w:val="Style8"/>
    <w:link w:val="690"/>
    <w:rPr/>
  </w:style>
  <w:style w:type="character" w:styleId="22">
    <w:name w:val="Основной текст с отступом 2 Знак"/>
    <w:link w:val="701"/>
    <w:qFormat/>
    <w:rPr>
      <w:rFonts w:eastAsia="Times New Roman" w:cs="Times New Roman"/>
      <w:szCs w:val="24"/>
      <w:lang w:eastAsia="ru-RU"/>
    </w:rPr>
  </w:style>
  <w:style w:type="character" w:styleId="Style11">
    <w:name w:val="Гиперссылка"/>
    <w:link w:val="690"/>
    <w:uiPriority w:val="99"/>
    <w:unhideWhenUsed/>
    <w:qFormat/>
    <w:rPr>
      <w:color w:val="0000FF"/>
      <w:u w:val="single"/>
    </w:rPr>
  </w:style>
  <w:style w:type="character" w:styleId="11">
    <w:name w:val="Заголовок 1 Знак"/>
    <w:link w:val="691"/>
    <w:uiPriority w:val="9"/>
    <w:qFormat/>
    <w:rPr>
      <w:rFonts w:ascii="Cambria" w:hAnsi="Cambria" w:eastAsia="Times New Roman" w:cs="Times New Roman"/>
      <w:b/>
      <w:bCs/>
      <w:color w:val="365F91"/>
      <w:sz w:val="28"/>
      <w:szCs w:val="28"/>
      <w:lang w:eastAsia="ru-RU"/>
    </w:rPr>
  </w:style>
  <w:style w:type="character" w:styleId="Style12">
    <w:name w:val="Нижний колонтитул Знак"/>
    <w:link w:val="715"/>
    <w:uiPriority w:val="99"/>
    <w:qFormat/>
    <w:rPr>
      <w:rFonts w:eastAsia="Times New Roman" w:cs="Times New Roman"/>
      <w:sz w:val="28"/>
      <w:szCs w:val="28"/>
      <w:lang w:eastAsia="ru-RU"/>
    </w:rPr>
  </w:style>
  <w:style w:type="character" w:styleId="Style13">
    <w:name w:val="Текст выноски Знак"/>
    <w:link w:val="717"/>
    <w:uiPriority w:val="99"/>
    <w:semiHidden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B">
    <w:name w:val="b"/>
    <w:link w:val="690"/>
    <w:qFormat/>
    <w:rPr>
      <w:b/>
      <w:bCs/>
    </w:rPr>
  </w:style>
  <w:style w:type="character" w:styleId="Blk">
    <w:name w:val="blk"/>
    <w:basedOn w:val="Style8"/>
    <w:link w:val="690"/>
    <w:qFormat/>
    <w:rPr/>
  </w:style>
  <w:style w:type="character" w:styleId="Style14">
    <w:name w:val="Подзаголовок Знак"/>
    <w:link w:val="723"/>
    <w:qFormat/>
    <w:rPr>
      <w:rFonts w:ascii="Cambria" w:hAnsi="Cambria" w:eastAsia="Times New Roman" w:cs="Cambria"/>
      <w:sz w:val="24"/>
      <w:szCs w:val="24"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Normal"/>
    <w:link w:val="690"/>
    <w:pPr>
      <w:spacing w:before="0" w:after="0"/>
      <w:ind w:left="283" w:hanging="283"/>
      <w:contextualSpacing/>
    </w:pPr>
    <w:rPr>
      <w:sz w:val="24"/>
      <w:szCs w:val="24"/>
    </w:rPr>
  </w:style>
  <w:style w:type="paragraph" w:styleId="Style18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auto"/>
      <w:kern w:val="0"/>
      <w:sz w:val="28"/>
      <w:szCs w:val="20"/>
      <w:lang w:val="ru-RU" w:eastAsia="zh-CN" w:bidi="ar-SA"/>
    </w:rPr>
  </w:style>
  <w:style w:type="paragraph" w:styleId="Style20">
    <w:name w:val="Title"/>
    <w:basedOn w:val="Normal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1">
    <w:name w:val="Subtitle"/>
    <w:basedOn w:val="Normal"/>
    <w:link w:val="724"/>
    <w:qFormat/>
    <w:pPr>
      <w:spacing w:before="0" w:after="60"/>
      <w:jc w:val="center"/>
    </w:pPr>
    <w:rPr>
      <w:rFonts w:ascii="Cambria" w:hAnsi="Cambria" w:cs="Cambria"/>
      <w:sz w:val="24"/>
      <w:szCs w:val="24"/>
      <w:lang w:eastAsia="zh-CN"/>
    </w:rPr>
  </w:style>
  <w:style w:type="paragraph" w:styleId="Quote">
    <w:name w:val="Quote"/>
    <w:basedOn w:val="Normal"/>
    <w:link w:val="39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link w:val="41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698"/>
    <w:pPr>
      <w:tabs>
        <w:tab w:val="clear" w:pos="708"/>
        <w:tab w:val="center" w:pos="4677" w:leader="none"/>
        <w:tab w:val="right" w:pos="9355" w:leader="none"/>
      </w:tabs>
    </w:pPr>
    <w:rPr>
      <w:lang w:val="en-US"/>
    </w:rPr>
  </w:style>
  <w:style w:type="paragraph" w:styleId="Style24">
    <w:name w:val="Footer"/>
    <w:basedOn w:val="Normal"/>
    <w:link w:val="716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>
      <w:lang w:val="en-US"/>
    </w:rPr>
  </w:style>
  <w:style w:type="paragraph" w:styleId="Style25">
    <w:name w:val="Footnote Text"/>
    <w:basedOn w:val="Normal"/>
    <w:link w:val="176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6">
    <w:name w:val="Endnote Text"/>
    <w:basedOn w:val="Normal"/>
    <w:link w:val="179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3">
    <w:name w:val="TOC 2"/>
    <w:basedOn w:val="Normal"/>
    <w:link w:val="690"/>
    <w:uiPriority w:val="39"/>
    <w:unhideWhenUsed/>
    <w:pPr>
      <w:tabs>
        <w:tab w:val="clear" w:pos="708"/>
        <w:tab w:val="right" w:pos="10195" w:leader="dot"/>
      </w:tabs>
      <w:spacing w:before="0" w:after="10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bidi w:val="0"/>
      <w:jc w:val="left"/>
    </w:pPr>
    <w:rPr>
      <w:rFonts w:ascii="Times New Roman" w:hAnsi="Times New Roman" w:eastAsia="Calibri" w:cs="Times New Roman"/>
      <w:color w:val="auto"/>
      <w:kern w:val="0"/>
      <w:sz w:val="28"/>
      <w:szCs w:val="20"/>
      <w:lang w:val="ru-RU" w:eastAsia="zh-CN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Style27">
    <w:name w:val="Без интервала"/>
    <w:link w:val="690"/>
    <w:uiPriority w:val="1"/>
    <w:qFormat/>
    <w:pPr>
      <w:widowControl/>
      <w:bidi w:val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24">
    <w:name w:val="Основной текст с отступом 2"/>
    <w:basedOn w:val="Normal"/>
    <w:link w:val="702"/>
    <w:qFormat/>
    <w:pPr>
      <w:spacing w:lineRule="auto" w:line="480" w:before="0" w:after="120"/>
      <w:ind w:left="283" w:hanging="0"/>
    </w:pPr>
    <w:rPr>
      <w:sz w:val="20"/>
      <w:szCs w:val="24"/>
      <w:lang w:val="en-US"/>
    </w:rPr>
  </w:style>
  <w:style w:type="paragraph" w:styleId="Style28">
    <w:name w:val="Абзац списка"/>
    <w:basedOn w:val="Normal"/>
    <w:link w:val="690"/>
    <w:uiPriority w:val="34"/>
    <w:qFormat/>
    <w:pPr>
      <w:spacing w:before="0" w:after="0"/>
      <w:ind w:left="720" w:hanging="0"/>
      <w:contextualSpacing/>
    </w:pPr>
    <w:rPr/>
  </w:style>
  <w:style w:type="paragraph" w:styleId="211">
    <w:name w:val="Список 21"/>
    <w:basedOn w:val="Normal"/>
    <w:link w:val="690"/>
    <w:qFormat/>
    <w:pPr>
      <w:ind w:left="566" w:hanging="283"/>
    </w:pPr>
    <w:rPr>
      <w:rFonts w:ascii="Arial" w:hAnsi="Arial" w:cs="Arial"/>
      <w:sz w:val="24"/>
      <w:lang w:eastAsia="ar-SA"/>
    </w:rPr>
  </w:style>
  <w:style w:type="paragraph" w:styleId="111">
    <w:name w:val="Заголовок 11"/>
    <w:basedOn w:val="Normal"/>
    <w:link w:val="690"/>
    <w:qFormat/>
    <w:pPr>
      <w:keepNext w:val="true"/>
      <w:ind w:firstLine="284"/>
    </w:pPr>
    <w:rPr>
      <w:sz w:val="24"/>
      <w:szCs w:val="24"/>
      <w:lang w:eastAsia="zh-CN"/>
    </w:rPr>
  </w:style>
  <w:style w:type="paragraph" w:styleId="ConsPlusNormal">
    <w:name w:val="ConsPlusNormal"/>
    <w:link w:val="690"/>
    <w:qFormat/>
    <w:pPr>
      <w:widowControl/>
      <w:bidi w:val="0"/>
      <w:jc w:val="left"/>
    </w:pPr>
    <w:rPr>
      <w:rFonts w:ascii="Times New Roman" w:hAnsi="Times New Roman" w:eastAsia="Calibri" w:cs="Times New Roman"/>
      <w:color w:val="auto"/>
      <w:kern w:val="0"/>
      <w:sz w:val="28"/>
      <w:szCs w:val="28"/>
      <w:lang w:val="ru-RU" w:eastAsia="zh-CN" w:bidi="ar-SA"/>
    </w:rPr>
  </w:style>
  <w:style w:type="paragraph" w:styleId="Pj">
    <w:name w:val="pj"/>
    <w:basedOn w:val="Normal"/>
    <w:link w:val="690"/>
    <w:qFormat/>
    <w:pPr>
      <w:spacing w:before="280" w:after="280"/>
    </w:pPr>
    <w:rPr>
      <w:sz w:val="24"/>
      <w:szCs w:val="24"/>
      <w:lang w:eastAsia="zh-CN"/>
    </w:rPr>
  </w:style>
  <w:style w:type="paragraph" w:styleId="Pl">
    <w:name w:val="pl"/>
    <w:basedOn w:val="Normal"/>
    <w:link w:val="690"/>
    <w:qFormat/>
    <w:pPr>
      <w:spacing w:before="280" w:after="280"/>
    </w:pPr>
    <w:rPr>
      <w:sz w:val="24"/>
      <w:szCs w:val="24"/>
      <w:lang w:eastAsia="zh-CN"/>
    </w:rPr>
  </w:style>
  <w:style w:type="paragraph" w:styleId="Style29">
    <w:name w:val="TOA Heading"/>
    <w:basedOn w:val="1"/>
    <w:link w:val="690"/>
    <w:uiPriority w:val="39"/>
    <w:semiHidden/>
    <w:unhideWhenUsed/>
    <w:qFormat/>
    <w:pPr>
      <w:spacing w:lineRule="auto" w:line="276"/>
    </w:pPr>
    <w:rPr/>
  </w:style>
  <w:style w:type="paragraph" w:styleId="Style30">
    <w:name w:val="Текст выноски"/>
    <w:basedOn w:val="Normal"/>
    <w:link w:val="718"/>
    <w:uiPriority w:val="99"/>
    <w:semiHidden/>
    <w:unhideWhenUsed/>
    <w:qFormat/>
    <w:pPr/>
    <w:rPr>
      <w:rFonts w:ascii="Tahoma" w:hAnsi="Tahoma"/>
      <w:sz w:val="16"/>
      <w:szCs w:val="16"/>
      <w:lang w:val="en-US"/>
    </w:rPr>
  </w:style>
  <w:style w:type="paragraph" w:styleId="13">
    <w:name w:val="1"/>
    <w:basedOn w:val="Normal"/>
    <w:link w:val="690"/>
    <w:qFormat/>
    <w:pPr>
      <w:jc w:val="center"/>
    </w:pPr>
    <w:rPr>
      <w:b/>
      <w:bCs/>
      <w:lang w:eastAsia="zh-CN"/>
    </w:rPr>
  </w:style>
  <w:style w:type="paragraph" w:styleId="Headertext">
    <w:name w:val="headertext"/>
    <w:basedOn w:val="Normal"/>
    <w:link w:val="690"/>
    <w:qFormat/>
    <w:pPr>
      <w:spacing w:before="280" w:after="280"/>
    </w:pPr>
    <w:rPr>
      <w:sz w:val="24"/>
      <w:szCs w:val="24"/>
      <w:lang w:eastAsia="zh-CN"/>
    </w:rPr>
  </w:style>
  <w:style w:type="paragraph" w:styleId="Style31">
    <w:name w:val="Содержимое врезки"/>
    <w:basedOn w:val="Normal"/>
    <w:qFormat/>
    <w:pPr/>
    <w:rPr/>
  </w:style>
  <w:style w:type="numbering" w:styleId="Style32">
    <w:name w:val="Нет списка"/>
    <w:link w:val="690"/>
    <w:uiPriority w:val="99"/>
    <w:semiHidden/>
    <w:unhideWhenUsed/>
    <w:qFormat/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hyperlink" Target="http://www.consultant.ru/" TargetMode="External"/><Relationship Id="rId8" Type="http://schemas.openxmlformats.org/officeDocument/2006/relationships/hyperlink" Target="http://www.bankir.ru/" TargetMode="External"/><Relationship Id="rId9" Type="http://schemas.openxmlformats.org/officeDocument/2006/relationships/hyperlink" Target="http://www.consultant.ru/" TargetMode="External"/><Relationship Id="rId10" Type="http://schemas.openxmlformats.org/officeDocument/2006/relationships/hyperlink" Target="http://www.bankir.ru/" TargetMode="External"/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yperlink" Target="https://urait.ru/bcode/490823" TargetMode="External"/><Relationship Id="rId14" Type="http://schemas.openxmlformats.org/officeDocument/2006/relationships/hyperlink" Target="https://urait.ru/bcode/491089" TargetMode="External"/><Relationship Id="rId15" Type="http://schemas.openxmlformats.org/officeDocument/2006/relationships/hyperlink" Target="http://www.consultant.ru/" TargetMode="External"/><Relationship Id="rId16" Type="http://schemas.openxmlformats.org/officeDocument/2006/relationships/hyperlink" Target="http://www.bankir.ru/" TargetMode="External"/><Relationship Id="rId17" Type="http://schemas.openxmlformats.org/officeDocument/2006/relationships/hyperlink" Target="http://www.cbr.ru/" TargetMode="External"/><Relationship Id="rId18" Type="http://schemas.openxmlformats.org/officeDocument/2006/relationships/header" Target="header3.xml"/><Relationship Id="rId19" Type="http://schemas.openxmlformats.org/officeDocument/2006/relationships/footer" Target="footer4.xml"/><Relationship Id="rId20" Type="http://schemas.openxmlformats.org/officeDocument/2006/relationships/numbering" Target="numbering.xml"/><Relationship Id="rId21" Type="http://schemas.openxmlformats.org/officeDocument/2006/relationships/fontTable" Target="fontTable.xml"/><Relationship Id="rId22" Type="http://schemas.openxmlformats.org/officeDocument/2006/relationships/settings" Target="settings.xml"/><Relationship Id="rId2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LibreOffice/6.3.2.2$Windows_x86 LibreOffice_project/98b30e735bda24bc04ab42594c85f7fd8be07b9c</Application>
  <Pages>7</Pages>
  <Words>1348</Words>
  <Characters>10193</Characters>
  <CharactersWithSpaces>11468</CharactersWithSpaces>
  <Paragraphs>133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2023-06-20T11:05:00Z</dcterms:created>
  <dc:creator>Дашуля</dc:creator>
  <dc:description/>
  <dc:language>ru-RU</dc:language>
  <cp:lastModifiedBy/>
  <dcterms:modified xsi:type="dcterms:W3CDTF">2025-03-04T11:07:22Z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  <property fmtid="{D5CDD505-2E9C-101B-9397-08002B2CF9AE}" pid="6" name="version">
    <vt:lpwstr>1048576</vt:lpwstr>
  </property>
</Properties>
</file>