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sz w:val="28"/>
          <w:szCs w:val="28"/>
        </w:rPr>
        <w:t>Министерство образования Вологодской области</w:t>
      </w:r>
    </w:p>
    <w:p>
      <w:pPr>
        <w:pStyle w:val="Normal"/>
        <w:jc w:val="center"/>
        <w:rPr/>
      </w:pPr>
      <w:r>
        <w:rPr>
          <w:sz w:val="28"/>
          <w:szCs w:val="28"/>
        </w:rPr>
        <w:t>БПОУ  ВО «Вологодский аграрно-экономический колледж»</w:t>
      </w:r>
    </w:p>
    <w:p>
      <w:pPr>
        <w:pStyle w:val="Normal"/>
        <w:jc w:val="center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jc w:val="center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jc w:val="center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jc w:val="center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jc w:val="center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b/>
          <w:b/>
          <w:bCs/>
          <w:sz w:val="32"/>
          <w:szCs w:val="32"/>
          <w:lang w:eastAsia="ru-RU"/>
        </w:rPr>
      </w:pPr>
      <w:r>
        <w:rPr>
          <w:b/>
          <w:bCs/>
          <w:sz w:val="32"/>
          <w:szCs w:val="32"/>
          <w:lang w:eastAsia="ru-RU"/>
        </w:rPr>
      </w:r>
    </w:p>
    <w:p>
      <w:pPr>
        <w:pStyle w:val="Normal"/>
        <w:jc w:val="center"/>
        <w:rPr>
          <w:b/>
          <w:b/>
          <w:bCs/>
          <w:sz w:val="36"/>
          <w:szCs w:val="36"/>
          <w:lang w:eastAsia="ru-RU"/>
        </w:rPr>
      </w:pPr>
      <w:r>
        <w:rPr>
          <w:b/>
          <w:bCs/>
          <w:sz w:val="36"/>
          <w:szCs w:val="36"/>
          <w:lang w:eastAsia="ru-RU"/>
        </w:rPr>
      </w:r>
    </w:p>
    <w:p>
      <w:pPr>
        <w:pStyle w:val="Normal"/>
        <w:jc w:val="center"/>
        <w:rPr>
          <w:b/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</w:r>
    </w:p>
    <w:p>
      <w:pPr>
        <w:pStyle w:val="Normal"/>
        <w:jc w:val="center"/>
        <w:rPr/>
      </w:pPr>
      <w:r>
        <w:rPr>
          <w:b/>
          <w:bCs/>
          <w:sz w:val="28"/>
          <w:szCs w:val="28"/>
        </w:rPr>
        <w:t>Методические указания</w:t>
      </w:r>
    </w:p>
    <w:p>
      <w:pPr>
        <w:pStyle w:val="Normal"/>
        <w:jc w:val="center"/>
        <w:rPr/>
      </w:pPr>
      <w:r>
        <w:rPr>
          <w:b/>
          <w:bCs/>
          <w:sz w:val="28"/>
          <w:szCs w:val="28"/>
        </w:rPr>
        <w:t>по выполнению  внеаудиторной</w:t>
      </w:r>
    </w:p>
    <w:p>
      <w:pPr>
        <w:pStyle w:val="Normal"/>
        <w:jc w:val="center"/>
        <w:rPr/>
      </w:pPr>
      <w:r>
        <w:rPr>
          <w:b/>
          <w:bCs/>
          <w:sz w:val="28"/>
          <w:szCs w:val="28"/>
        </w:rPr>
        <w:t>самостоятельной   работы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/>
      </w:pPr>
      <w:r>
        <w:rPr>
          <w:b/>
          <w:sz w:val="28"/>
          <w:szCs w:val="28"/>
          <w:lang w:eastAsia="ru-RU"/>
        </w:rPr>
        <w:t>ПРОФЕССИОНАЛЬНОГО МОДУЛЯ</w:t>
      </w:r>
    </w:p>
    <w:p>
      <w:pPr>
        <w:pStyle w:val="Normal"/>
        <w:jc w:val="center"/>
        <w:rPr>
          <w:b/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</w:r>
    </w:p>
    <w:p>
      <w:pPr>
        <w:pStyle w:val="1"/>
        <w:keepLines w:val="false"/>
        <w:numPr>
          <w:ilvl w:val="0"/>
          <w:numId w:val="1"/>
        </w:numPr>
        <w:spacing w:before="0" w:after="0"/>
        <w:ind w:firstLine="284"/>
        <w:jc w:val="center"/>
        <w:rPr/>
      </w:pPr>
      <w:r>
        <w:rPr>
          <w:rFonts w:ascii="Times New Roman" w:hAnsi="Times New Roman"/>
          <w:color w:val="000000"/>
        </w:rPr>
        <w:t>ПМ. 02 Осуществление кредитных операций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b/>
          <w:caps/>
          <w:color w:val="FF0000"/>
          <w:sz w:val="28"/>
          <w:szCs w:val="28"/>
        </w:rPr>
      </w:pPr>
      <w:r>
        <w:rPr>
          <w:b/>
          <w:caps/>
          <w:color w:val="FF0000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b/>
          <w:b/>
          <w:caps/>
          <w:color w:val="FF0000"/>
          <w:sz w:val="28"/>
          <w:szCs w:val="28"/>
        </w:rPr>
      </w:pPr>
      <w:r>
        <w:rPr>
          <w:b/>
          <w:caps/>
          <w:color w:val="FF0000"/>
          <w:sz w:val="28"/>
          <w:szCs w:val="28"/>
        </w:rPr>
      </w:r>
    </w:p>
    <w:p>
      <w:pPr>
        <w:pStyle w:val="Normal"/>
        <w:keepNext w:val="true"/>
        <w:suppressLineNumbers/>
        <w:jc w:val="center"/>
        <w:rPr/>
      </w:pPr>
      <w:r>
        <w:rPr>
          <w:sz w:val="28"/>
          <w:szCs w:val="28"/>
        </w:rPr>
        <w:t>по специальности  38.02.07 Банковское дело</w:t>
      </w:r>
    </w:p>
    <w:p>
      <w:pPr>
        <w:pStyle w:val="Normal"/>
        <w:keepNext w:val="true"/>
        <w:suppressLineNumbers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Вологда 2024</w:t>
      </w:r>
    </w:p>
    <w:p>
      <w:pPr>
        <w:pStyle w:val="Normal"/>
        <w:jc w:val="center"/>
        <w:rPr/>
      </w:pPr>
      <w:r>
        <w:rPr/>
      </w:r>
      <w:r>
        <w:br w:type="page"/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889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02"/>
        <w:gridCol w:w="5386"/>
      </w:tblGrid>
      <w:tr>
        <w:trPr/>
        <w:tc>
          <w:tcPr>
            <w:tcW w:w="450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>Рассмотрено методической комиссией технических и экономических дисциплин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>Протокол №1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>0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 xml:space="preserve"> от 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>06.06.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 xml:space="preserve"> 2024 г.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>Председатель МК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>_______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drawing>
                <wp:inline distT="0" distB="0" distL="0" distR="0">
                  <wp:extent cx="542290" cy="285750"/>
                  <wp:effectExtent l="0" t="0" r="0" b="0"/>
                  <wp:docPr id="1" name="_x005F_x0000_i10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_x005F_x0000_i10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rcRect l="0" t="14883" r="0" b="159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>___О.Б. Литвинова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</w:r>
          </w:p>
        </w:tc>
        <w:tc>
          <w:tcPr>
            <w:tcW w:w="538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Times New Roman" w:hAnsi="Times New Roman"/>
                <w:sz w:val="28"/>
              </w:rPr>
              <w:t>Одобрено и рекомендовано для внутреннего использования научно-методическим Советом колледжа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Times New Roman" w:hAnsi="Times New Roman"/>
                <w:sz w:val="28"/>
              </w:rPr>
              <w:t xml:space="preserve">Протокол № </w:t>
            </w:r>
            <w:r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 xml:space="preserve"> от </w:t>
            </w:r>
            <w:r>
              <w:rPr>
                <w:rFonts w:ascii="Times New Roman" w:hAnsi="Times New Roman"/>
                <w:sz w:val="28"/>
              </w:rPr>
              <w:t>06</w:t>
            </w:r>
            <w:r>
              <w:rPr>
                <w:rFonts w:ascii="Times New Roman" w:hAnsi="Times New Roman"/>
                <w:sz w:val="28"/>
              </w:rPr>
              <w:t>.0</w:t>
            </w:r>
            <w:r>
              <w:rPr>
                <w:rFonts w:ascii="Times New Roman" w:hAnsi="Times New Roman"/>
                <w:sz w:val="28"/>
              </w:rPr>
              <w:t>6</w:t>
            </w:r>
            <w:r>
              <w:rPr>
                <w:rFonts w:ascii="Times New Roman" w:hAnsi="Times New Roman"/>
                <w:sz w:val="28"/>
              </w:rPr>
              <w:t>.2024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bookmarkStart w:id="0" w:name="_GoBack"/>
            <w:bookmarkEnd w:id="0"/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 xml:space="preserve">Председатель   НМС 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drawing>
                <wp:inline distT="0" distB="0" distL="0" distR="0">
                  <wp:extent cx="1267460" cy="531495"/>
                  <wp:effectExtent l="0" t="0" r="0" b="0"/>
                  <wp:docPr id="2" name="Рисунок 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rcRect l="-54" t="-116" r="-54" b="-1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7460" cy="531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 xml:space="preserve"> Е.В. Вихарева</w:t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Разработчик – Кощеева Маргарита Алексеевна, преподаватель БПОУ  ВО «Вологодский аграрно-экономический колледж»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Методические указания предназначены для обучающихся специальности 38.02.07 Банковское дело и направлены на оказание практической помощи при выполнении внеаудиторной  самостоятельной работы по профессиональному модулю.</w:t>
      </w:r>
      <w:r>
        <w:br w:type="page"/>
      </w:r>
    </w:p>
    <w:p>
      <w:pPr>
        <w:pStyle w:val="Normal"/>
        <w:ind w:firstLine="284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</w:r>
    </w:p>
    <w:p>
      <w:pPr>
        <w:pStyle w:val="16"/>
        <w:spacing w:lineRule="auto" w:line="360"/>
        <w:ind w:left="0" w:right="0" w:hanging="0"/>
        <w:jc w:val="center"/>
        <w:rPr/>
      </w:pPr>
      <w:r>
        <w:rPr>
          <w:rFonts w:ascii="Times New Roman" w:hAnsi="Times New Roman"/>
          <w:color w:val="000000"/>
        </w:rPr>
        <w:t>Содержание</w:t>
      </w:r>
    </w:p>
    <w:sdt>
      <w:sdtPr>
        <w:docPartObj>
          <w:docPartGallery w:val="Table of Contents"/>
          <w:docPartUnique w:val="true"/>
        </w:docPartObj>
      </w:sdtPr>
      <w:sdtContent>
        <w:p>
          <w:pPr>
            <w:pStyle w:val="13"/>
            <w:tabs>
              <w:tab w:val="clear" w:pos="708"/>
              <w:tab w:val="right" w:pos="9628" w:leader="dot"/>
            </w:tabs>
            <w:spacing w:lineRule="auto" w:line="360"/>
            <w:rPr>
              <w:sz w:val="28"/>
              <w:szCs w:val="28"/>
            </w:rPr>
          </w:pPr>
          <w:r>
            <w:fldChar w:fldCharType="begin"/>
          </w:r>
          <w:r>
            <w:rPr>
              <w:sz w:val="28"/>
              <w:szCs w:val="28"/>
            </w:rPr>
            <w:instrText> TOC \z \o "1-3" \u \h</w:instrText>
          </w:r>
          <w:r>
            <w:rPr>
              <w:sz w:val="28"/>
              <w:szCs w:val="28"/>
            </w:rPr>
            <w:fldChar w:fldCharType="separate"/>
          </w:r>
          <w:r>
            <w:rPr>
              <w:sz w:val="28"/>
              <w:szCs w:val="28"/>
            </w:rPr>
          </w:r>
          <w:r>
            <w:rPr>
              <w:sz w:val="28"/>
              <w:szCs w:val="28"/>
            </w:rPr>
            <w:fldChar w:fldCharType="end"/>
          </w:r>
        </w:p>
      </w:sdtContent>
    </w:sdt>
    <w:p>
      <w:pPr>
        <w:pStyle w:val="13"/>
        <w:tabs>
          <w:tab w:val="clear" w:pos="708"/>
          <w:tab w:val="right" w:pos="9628" w:leader="dot"/>
        </w:tabs>
        <w:spacing w:lineRule="auto" w:line="360"/>
        <w:rPr/>
      </w:pPr>
      <w:hyperlink w:anchor="__RefHeading___Toc56010711">
        <w:r>
          <w:rPr>
            <w:rStyle w:val="Style13"/>
            <w:sz w:val="28"/>
            <w:szCs w:val="28"/>
          </w:rPr>
          <w:t>Введение</w:t>
          <w:tab/>
          <w:t>4</w:t>
        </w:r>
      </w:hyperlink>
    </w:p>
    <w:p>
      <w:pPr>
        <w:pStyle w:val="13"/>
        <w:tabs>
          <w:tab w:val="clear" w:pos="708"/>
          <w:tab w:val="right" w:pos="9628" w:leader="dot"/>
        </w:tabs>
        <w:spacing w:lineRule="auto" w:line="360"/>
        <w:rPr/>
      </w:pPr>
      <w:hyperlink w:anchor="__RefHeading___Toc56010712">
        <w:r>
          <w:rPr>
            <w:rStyle w:val="Style13"/>
            <w:sz w:val="28"/>
            <w:szCs w:val="28"/>
          </w:rPr>
          <w:t>Цели, основные виды самостоятельной работы обучающихся</w:t>
          <w:tab/>
          <w:t>5</w:t>
        </w:r>
      </w:hyperlink>
    </w:p>
    <w:p>
      <w:pPr>
        <w:pStyle w:val="13"/>
        <w:tabs>
          <w:tab w:val="clear" w:pos="708"/>
          <w:tab w:val="right" w:pos="9628" w:leader="dot"/>
        </w:tabs>
        <w:spacing w:lineRule="auto" w:line="360"/>
        <w:rPr/>
      </w:pPr>
      <w:hyperlink w:anchor="__RefHeading___Toc56010713">
        <w:r>
          <w:rPr>
            <w:rStyle w:val="Style13"/>
            <w:sz w:val="28"/>
            <w:szCs w:val="28"/>
          </w:rPr>
          <w:t>Критерии оценки результатов самостоятельной работы</w:t>
          <w:tab/>
          <w:t>6</w:t>
        </w:r>
      </w:hyperlink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  <w:r>
        <w:br w:type="page"/>
      </w:r>
    </w:p>
    <w:p>
      <w:pPr>
        <w:pStyle w:val="1"/>
        <w:numPr>
          <w:ilvl w:val="0"/>
          <w:numId w:val="1"/>
        </w:numPr>
        <w:spacing w:before="0" w:after="0"/>
        <w:jc w:val="center"/>
        <w:rPr/>
      </w:pPr>
      <w:bookmarkStart w:id="1" w:name="__RefHeading___Toc56010711"/>
      <w:bookmarkEnd w:id="1"/>
      <w:r>
        <w:rPr>
          <w:rFonts w:ascii="Times New Roman" w:hAnsi="Times New Roman"/>
          <w:color w:val="000000"/>
          <w:sz w:val="24"/>
          <w:szCs w:val="24"/>
        </w:rPr>
        <w:t>Введение</w:t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709"/>
        <w:jc w:val="both"/>
        <w:rPr/>
      </w:pPr>
      <w:r>
        <w:rPr>
          <w:sz w:val="24"/>
          <w:szCs w:val="24"/>
        </w:rPr>
        <w:t>Выполнение самостоятельной работы должно способствовать более полному усвоению программного материала.</w:t>
      </w:r>
    </w:p>
    <w:p>
      <w:pPr>
        <w:pStyle w:val="Normal"/>
        <w:ind w:firstLine="709"/>
        <w:jc w:val="both"/>
        <w:rPr/>
      </w:pPr>
      <w:r>
        <w:rPr>
          <w:sz w:val="24"/>
          <w:szCs w:val="24"/>
        </w:rPr>
        <w:t>Методические указания для выполнения самостоятельной работы составлены в соответствии с рабочими программами междисциплинарных курсов и рассчитаны:</w:t>
      </w:r>
    </w:p>
    <w:p>
      <w:pPr>
        <w:pStyle w:val="Normal"/>
        <w:ind w:firstLine="709"/>
        <w:jc w:val="both"/>
        <w:rPr/>
      </w:pPr>
      <w:r>
        <w:rPr>
          <w:sz w:val="24"/>
          <w:szCs w:val="24"/>
        </w:rPr>
        <w:t>по МДК 02.01 – на 16 часов;</w:t>
      </w:r>
    </w:p>
    <w:p>
      <w:pPr>
        <w:pStyle w:val="Normal"/>
        <w:ind w:firstLine="709"/>
        <w:jc w:val="both"/>
        <w:rPr/>
      </w:pPr>
      <w:r>
        <w:rPr>
          <w:sz w:val="24"/>
          <w:szCs w:val="24"/>
        </w:rPr>
        <w:t>по МДК 02.02 – на 10 часов.</w:t>
      </w:r>
    </w:p>
    <w:p>
      <w:pPr>
        <w:pStyle w:val="Normal"/>
        <w:ind w:firstLine="709"/>
        <w:jc w:val="both"/>
        <w:rPr/>
      </w:pPr>
      <w:r>
        <w:rPr>
          <w:sz w:val="24"/>
          <w:szCs w:val="24"/>
        </w:rPr>
        <w:t xml:space="preserve">В результате выполнения самостоятельной работы обучающийся должен </w:t>
      </w:r>
      <w:r>
        <w:rPr>
          <w:b/>
          <w:sz w:val="24"/>
          <w:szCs w:val="24"/>
        </w:rPr>
        <w:t>уметь</w:t>
      </w:r>
      <w:r>
        <w:rPr>
          <w:sz w:val="24"/>
          <w:szCs w:val="24"/>
        </w:rPr>
        <w:t>: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>консультировать заемщиков по условиям предоставления и порядку погашения кредитов;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>анализировать финансовое положение заемщика – юридического лица и технико-экономическое обоснование кредита;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>определять платежеспособность физического лица;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>проверять полноту и подлинность документов заемщика для получения кредитов;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>проверять качество и достаточность обеспечения возвратности кредита;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>составлять заключение о возможности предоставления кредита;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>оперативно принимать решения по предложению клиенту дополнительного банковского продукта (кросс-продажа);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>составлять договор о залоге;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>оформлять пакет документов для заключения договора о залоге;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составлять график платежей по кредиту и процентам,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оформлять комплект документов на открытие счетов и выдачу кредитов различных видов;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оформлять выписки по лицевым счетам заемщиков и разъяснять им содержащиеся в выписках данные;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формировать и вести кредитные дела;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составлять акты по итогам проверок сохранности обеспечения;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определять возможность предоставления межбанковского кредита с учетом финансового положения контрагента;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определять достаточность обеспечения возвратности межбанковского кредита;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пользоваться оперативной информацией о ставках по рублевым и валютным межбанковским кредитам, получаемой по телекоммуникационным каналам;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применять универсальное и специализированное программное обеспечение, необходимое для сбора и анализа информации для сотрудничества на межбанковском рынке;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пользоваться справочными информационными базами данных, необходимых для сотрудничества на межбанковском рынке;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оформлять и отражать в учете операции по выдаче кредитов физическим и юридическим лицам, погашению ими кредитов;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оформлять и вести учет обеспечения по предоставленным кредитам;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оформлять и отражать в учете сделки по предоставлению и получению кредитов на рынке межбанковского кредита;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оформлять и отражать в учете начисление и взыскание процентов по кредитам;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вести мониторинг финансового положения клиента;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контролировать соответствие и правильность исполнения залогодателем своих обязательств;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оценивать качество обслуживания долга и кредитный риск по выданным кредитам;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выявлять причины ненадлежащего исполнения условий договора и выставлять требования по оплате просроченной задолженности;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выбирать формы и методы взаимодействия с заемщиком, имеющим просроченную задолженность;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разрабатывать систему мотивации заемщика, имеющего просроченную задолженность, и применять ее с целью обеспечения производства платежей с учетом индивидуальных особенностей заемщика и условий кредитного досье;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подбирать оптимальный способ погашения просроченной задолженности;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планировать работу с заемщиком, имеющим просроченную задолженность, на основании предварительно проделанной работы и с учетом намерений заемщика по оплате просроченной задолженности;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рассчитывать и отражать в учете сумму формируемого резерва;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использовать специализированное программное обеспечение для совершения операций по кредитованию; программное обеспечение для совершения операций по кредитованию;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>отражать в бухгалтерском учете операции по предоставлению и погашению кредита и процентов по нему;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>отражать в бухгалтерском учете операции по оформлению обеспечения кредита;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>отражать в бухгалтерском учете создание резерва на возможные потери по ссудам;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>отражать в бухгалтерском учете операции по просроченным кредитам.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91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919"/>
        <w:jc w:val="both"/>
        <w:rPr/>
      </w:pPr>
      <w:r>
        <w:rPr>
          <w:color w:val="000000"/>
          <w:sz w:val="24"/>
          <w:szCs w:val="24"/>
          <w:lang w:eastAsia="ru-RU"/>
        </w:rPr>
        <w:t xml:space="preserve">В результате освоения модуля обучающийся должен </w:t>
      </w:r>
      <w:r>
        <w:rPr>
          <w:b/>
          <w:color w:val="000000"/>
          <w:sz w:val="24"/>
          <w:szCs w:val="24"/>
          <w:lang w:eastAsia="ru-RU"/>
        </w:rPr>
        <w:t>знать:</w:t>
      </w:r>
    </w:p>
    <w:p>
      <w:pPr>
        <w:pStyle w:val="Style20"/>
        <w:numPr>
          <w:ilvl w:val="0"/>
          <w:numId w:val="3"/>
        </w:numPr>
        <w:spacing w:before="0" w:after="0"/>
        <w:jc w:val="both"/>
        <w:rPr/>
      </w:pPr>
      <w:r>
        <w:rPr>
          <w:rFonts w:cs="Times New Roman" w:ascii="Times New Roman" w:hAnsi="Times New Roman"/>
        </w:rPr>
        <w:t>нормативные правовые акты, регулирующие осуществление кредитных операций и обеспечение кредитных обязательств;</w:t>
      </w:r>
    </w:p>
    <w:p>
      <w:pPr>
        <w:pStyle w:val="Style20"/>
        <w:numPr>
          <w:ilvl w:val="0"/>
          <w:numId w:val="3"/>
        </w:numPr>
        <w:spacing w:before="0" w:after="0"/>
        <w:jc w:val="both"/>
        <w:rPr/>
      </w:pPr>
      <w:r>
        <w:rPr>
          <w:rFonts w:cs="Times New Roman" w:ascii="Times New Roman" w:hAnsi="Times New Roman"/>
        </w:rPr>
        <w:t>законодательство Российской Федерации о противодействии легализации (отмыванию) доходов, полученных преступным путем, и финансированию терроризма;</w:t>
      </w:r>
      <w:r>
        <w:rPr>
          <w:rFonts w:cs="Times New Roman" w:ascii="Times New Roman" w:hAnsi="Times New Roman"/>
          <w:lang w:val="ru-RU"/>
        </w:rPr>
        <w:t xml:space="preserve"> </w:t>
      </w:r>
      <w:r>
        <w:rPr>
          <w:rFonts w:cs="Times New Roman" w:ascii="Times New Roman" w:hAnsi="Times New Roman"/>
        </w:rPr>
        <w:t>законодательство Российской Федерации о персональных данных;</w:t>
      </w:r>
    </w:p>
    <w:p>
      <w:pPr>
        <w:pStyle w:val="Style20"/>
        <w:numPr>
          <w:ilvl w:val="0"/>
          <w:numId w:val="3"/>
        </w:numPr>
        <w:spacing w:before="0" w:after="0"/>
        <w:jc w:val="both"/>
        <w:rPr/>
      </w:pPr>
      <w:r>
        <w:rPr>
          <w:rFonts w:cs="Times New Roman" w:ascii="Times New Roman" w:hAnsi="Times New Roman"/>
        </w:rPr>
        <w:t>нормативные документы Банка России об идентификации клиентов и внутреннем контроле (аудите);</w:t>
      </w:r>
      <w:r>
        <w:rPr>
          <w:rFonts w:cs="Times New Roman" w:ascii="Times New Roman" w:hAnsi="Times New Roman"/>
          <w:lang w:val="ru-RU"/>
        </w:rPr>
        <w:t xml:space="preserve"> </w:t>
      </w:r>
      <w:r>
        <w:rPr>
          <w:rFonts w:cs="Times New Roman" w:ascii="Times New Roman" w:hAnsi="Times New Roman"/>
        </w:rPr>
        <w:t>рекомендации Ассоциации региональных банков России по вопросам определения кредитоспособности заемщиков;</w:t>
      </w:r>
    </w:p>
    <w:p>
      <w:pPr>
        <w:pStyle w:val="Style20"/>
        <w:numPr>
          <w:ilvl w:val="0"/>
          <w:numId w:val="3"/>
        </w:numPr>
        <w:spacing w:before="0" w:after="0"/>
        <w:jc w:val="both"/>
        <w:rPr/>
      </w:pPr>
      <w:r>
        <w:rPr>
          <w:rFonts w:cs="Times New Roman" w:ascii="Times New Roman" w:hAnsi="Times New Roman"/>
        </w:rPr>
        <w:t>порядок взаимодействия с бюро кредитных историй;</w:t>
      </w:r>
    </w:p>
    <w:p>
      <w:pPr>
        <w:pStyle w:val="Style20"/>
        <w:numPr>
          <w:ilvl w:val="0"/>
          <w:numId w:val="3"/>
        </w:numPr>
        <w:spacing w:before="0" w:after="0"/>
        <w:jc w:val="both"/>
        <w:rPr/>
      </w:pPr>
      <w:r>
        <w:rPr>
          <w:rFonts w:cs="Times New Roman" w:ascii="Times New Roman" w:hAnsi="Times New Roman"/>
        </w:rPr>
        <w:t>законодательство Российской Федерации о защите прав потребителей, в том числе потребителей финансовых услуг;</w:t>
      </w:r>
    </w:p>
    <w:p>
      <w:pPr>
        <w:pStyle w:val="Style20"/>
        <w:numPr>
          <w:ilvl w:val="0"/>
          <w:numId w:val="3"/>
        </w:numPr>
        <w:spacing w:before="0" w:after="0"/>
        <w:jc w:val="both"/>
        <w:rPr/>
      </w:pPr>
      <w:r>
        <w:rPr>
          <w:rFonts w:cs="Times New Roman" w:ascii="Times New Roman" w:hAnsi="Times New Roman"/>
        </w:rPr>
        <w:t>законодательство Российской Федерации о залогах и поручительстве; гражданское законодательство Российской Федерации об ответственности за неисполнение условий договора;</w:t>
      </w:r>
      <w:r>
        <w:rPr>
          <w:rFonts w:cs="Times New Roman" w:ascii="Times New Roman" w:hAnsi="Times New Roman"/>
          <w:lang w:val="ru-RU"/>
        </w:rPr>
        <w:t xml:space="preserve"> </w:t>
      </w:r>
      <w:r>
        <w:rPr>
          <w:rFonts w:cs="Times New Roman" w:ascii="Times New Roman" w:hAnsi="Times New Roman"/>
        </w:rPr>
        <w:t>законодательство Российской Федерации об ипотеке;</w:t>
      </w:r>
    </w:p>
    <w:p>
      <w:pPr>
        <w:pStyle w:val="Style20"/>
        <w:numPr>
          <w:ilvl w:val="0"/>
          <w:numId w:val="3"/>
        </w:numPr>
        <w:spacing w:before="0" w:after="0"/>
        <w:jc w:val="both"/>
        <w:rPr/>
      </w:pPr>
      <w:r>
        <w:rPr>
          <w:rFonts w:cs="Times New Roman" w:ascii="Times New Roman" w:hAnsi="Times New Roman"/>
        </w:rPr>
        <w:t>законодательство Российской Федерации о государственной регистрации прав на недвижимое имущество и сделок с ним;</w:t>
      </w:r>
    </w:p>
    <w:p>
      <w:pPr>
        <w:pStyle w:val="Style20"/>
        <w:numPr>
          <w:ilvl w:val="0"/>
          <w:numId w:val="3"/>
        </w:numPr>
        <w:spacing w:before="0" w:after="0"/>
        <w:jc w:val="both"/>
        <w:rPr/>
      </w:pPr>
      <w:r>
        <w:rPr>
          <w:rFonts w:cs="Times New Roman" w:ascii="Times New Roman" w:hAnsi="Times New Roman"/>
        </w:rPr>
        <w:t>нормативные документы Банка России и внутренние документы банка о порядке формирования кредитными организациями резервов на возможные потери;</w:t>
      </w:r>
    </w:p>
    <w:p>
      <w:pPr>
        <w:pStyle w:val="Style20"/>
        <w:numPr>
          <w:ilvl w:val="0"/>
          <w:numId w:val="3"/>
        </w:numPr>
        <w:spacing w:before="0" w:after="0"/>
        <w:jc w:val="both"/>
        <w:rPr/>
      </w:pPr>
      <w:r>
        <w:rPr>
          <w:rFonts w:cs="Times New Roman" w:ascii="Times New Roman" w:hAnsi="Times New Roman"/>
        </w:rPr>
        <w:t>способы и порядок предоставления и погашения различных видов кредитов;</w:t>
      </w:r>
    </w:p>
    <w:p>
      <w:pPr>
        <w:pStyle w:val="Style20"/>
        <w:numPr>
          <w:ilvl w:val="0"/>
          <w:numId w:val="3"/>
        </w:numPr>
        <w:spacing w:before="0" w:after="0"/>
        <w:jc w:val="both"/>
        <w:rPr/>
      </w:pPr>
      <w:r>
        <w:rPr>
          <w:rFonts w:cs="Times New Roman" w:ascii="Times New Roman" w:hAnsi="Times New Roman"/>
        </w:rPr>
        <w:t>способы обеспечения возвратности кредита, виды залога;</w:t>
      </w:r>
    </w:p>
    <w:p>
      <w:pPr>
        <w:pStyle w:val="Style20"/>
        <w:numPr>
          <w:ilvl w:val="0"/>
          <w:numId w:val="3"/>
        </w:numPr>
        <w:spacing w:before="0" w:after="0"/>
        <w:jc w:val="both"/>
        <w:rPr/>
      </w:pPr>
      <w:r>
        <w:rPr>
          <w:rFonts w:cs="Times New Roman" w:ascii="Times New Roman" w:hAnsi="Times New Roman"/>
        </w:rPr>
        <w:t>методы оценки залоговой стоимости, ликвидности предмета залога;</w:t>
      </w:r>
    </w:p>
    <w:p>
      <w:pPr>
        <w:pStyle w:val="Style20"/>
        <w:numPr>
          <w:ilvl w:val="0"/>
          <w:numId w:val="3"/>
        </w:numPr>
        <w:spacing w:before="0" w:after="0"/>
        <w:jc w:val="both"/>
        <w:rPr/>
      </w:pPr>
      <w:r>
        <w:rPr>
          <w:rFonts w:cs="Times New Roman" w:ascii="Times New Roman" w:hAnsi="Times New Roman"/>
        </w:rPr>
        <w:t>требования, предъявляемые банком к потенциальному заемщику;</w:t>
      </w:r>
    </w:p>
    <w:p>
      <w:pPr>
        <w:pStyle w:val="Style20"/>
        <w:numPr>
          <w:ilvl w:val="0"/>
          <w:numId w:val="3"/>
        </w:numPr>
        <w:spacing w:before="0" w:after="0"/>
        <w:jc w:val="both"/>
        <w:rPr/>
      </w:pPr>
      <w:r>
        <w:rPr>
          <w:rFonts w:cs="Times New Roman" w:ascii="Times New Roman" w:hAnsi="Times New Roman"/>
        </w:rPr>
        <w:t>состав и содержание основных источников информации о клиенте;</w:t>
      </w:r>
    </w:p>
    <w:p>
      <w:pPr>
        <w:pStyle w:val="Style20"/>
        <w:numPr>
          <w:ilvl w:val="0"/>
          <w:numId w:val="3"/>
        </w:numPr>
        <w:spacing w:before="0" w:after="0"/>
        <w:jc w:val="both"/>
        <w:rPr/>
      </w:pPr>
      <w:r>
        <w:rPr>
          <w:rFonts w:cs="Times New Roman" w:ascii="Times New Roman" w:hAnsi="Times New Roman"/>
        </w:rPr>
        <w:t>методы оценки платежеспособности физического лица, системы кредитного скоринга;</w:t>
      </w:r>
    </w:p>
    <w:p>
      <w:pPr>
        <w:pStyle w:val="Style20"/>
        <w:numPr>
          <w:ilvl w:val="0"/>
          <w:numId w:val="3"/>
        </w:numPr>
        <w:spacing w:before="0" w:after="0"/>
        <w:jc w:val="both"/>
        <w:rPr/>
      </w:pPr>
      <w:r>
        <w:rPr>
          <w:rFonts w:cs="Times New Roman" w:ascii="Times New Roman" w:hAnsi="Times New Roman"/>
        </w:rPr>
        <w:t>локальные нормативные акты и методические документы, касающиеся реструктуризации и рефинансирования задолженности физических лиц;</w:t>
      </w:r>
    </w:p>
    <w:p>
      <w:pPr>
        <w:pStyle w:val="Style20"/>
        <w:numPr>
          <w:ilvl w:val="0"/>
          <w:numId w:val="3"/>
        </w:numPr>
        <w:spacing w:before="0" w:after="0"/>
        <w:jc w:val="both"/>
        <w:rPr/>
      </w:pPr>
      <w:r>
        <w:rPr>
          <w:rFonts w:cs="Times New Roman" w:ascii="Times New Roman" w:hAnsi="Times New Roman"/>
        </w:rPr>
        <w:t>бизнес-культуру потребительского кредитования;</w:t>
      </w:r>
    </w:p>
    <w:p>
      <w:pPr>
        <w:pStyle w:val="Style20"/>
        <w:numPr>
          <w:ilvl w:val="0"/>
          <w:numId w:val="3"/>
        </w:numPr>
        <w:spacing w:before="0" w:after="0"/>
        <w:jc w:val="both"/>
        <w:rPr/>
      </w:pPr>
      <w:r>
        <w:rPr>
          <w:rFonts w:cs="Times New Roman" w:ascii="Times New Roman" w:hAnsi="Times New Roman"/>
        </w:rPr>
        <w:t>методы определения класса кредитоспособности юридического лица;</w:t>
      </w:r>
    </w:p>
    <w:p>
      <w:pPr>
        <w:pStyle w:val="Style20"/>
        <w:numPr>
          <w:ilvl w:val="0"/>
          <w:numId w:val="3"/>
        </w:numPr>
        <w:spacing w:before="0" w:after="0"/>
        <w:jc w:val="both"/>
        <w:rPr/>
      </w:pPr>
      <w:r>
        <w:rPr>
          <w:rFonts w:cs="Times New Roman" w:ascii="Times New Roman" w:hAnsi="Times New Roman"/>
        </w:rPr>
        <w:t>содержание кредитного договора, порядок его заключения, изменения условий и расторжения;</w:t>
      </w:r>
    </w:p>
    <w:p>
      <w:pPr>
        <w:pStyle w:val="Style20"/>
        <w:numPr>
          <w:ilvl w:val="0"/>
          <w:numId w:val="3"/>
        </w:numPr>
        <w:spacing w:before="0" w:after="0"/>
        <w:jc w:val="both"/>
        <w:rPr/>
      </w:pPr>
      <w:r>
        <w:rPr>
          <w:rFonts w:cs="Times New Roman" w:ascii="Times New Roman" w:hAnsi="Times New Roman"/>
        </w:rPr>
        <w:t>состав кредитного дела и порядок его ведения;</w:t>
      </w:r>
    </w:p>
    <w:p>
      <w:pPr>
        <w:pStyle w:val="Style20"/>
        <w:numPr>
          <w:ilvl w:val="0"/>
          <w:numId w:val="3"/>
        </w:numPr>
        <w:spacing w:before="0" w:after="0"/>
        <w:jc w:val="both"/>
        <w:rPr/>
      </w:pPr>
      <w:r>
        <w:rPr>
          <w:rFonts w:cs="Times New Roman" w:ascii="Times New Roman" w:hAnsi="Times New Roman"/>
        </w:rPr>
        <w:t>способы и порядок начисления и погашения процентов по кредитам;</w:t>
      </w:r>
    </w:p>
    <w:p>
      <w:pPr>
        <w:pStyle w:val="Style20"/>
        <w:numPr>
          <w:ilvl w:val="0"/>
          <w:numId w:val="3"/>
        </w:numPr>
        <w:spacing w:before="0" w:after="0"/>
        <w:jc w:val="both"/>
        <w:rPr/>
      </w:pPr>
      <w:r>
        <w:rPr>
          <w:rFonts w:cs="Times New Roman" w:ascii="Times New Roman" w:hAnsi="Times New Roman"/>
        </w:rPr>
        <w:t>порядок осуществления контроля своевременности и полноты поступления платежей по кредиту и учета просроченных платежей;</w:t>
      </w:r>
    </w:p>
    <w:p>
      <w:pPr>
        <w:pStyle w:val="Style20"/>
        <w:numPr>
          <w:ilvl w:val="0"/>
          <w:numId w:val="3"/>
        </w:numPr>
        <w:spacing w:before="0" w:after="0"/>
        <w:jc w:val="both"/>
        <w:rPr/>
      </w:pPr>
      <w:r>
        <w:rPr>
          <w:rFonts w:cs="Times New Roman" w:ascii="Times New Roman" w:hAnsi="Times New Roman"/>
        </w:rPr>
        <w:t>критерии определения проблемного кредита;</w:t>
      </w:r>
    </w:p>
    <w:p>
      <w:pPr>
        <w:pStyle w:val="Style20"/>
        <w:numPr>
          <w:ilvl w:val="0"/>
          <w:numId w:val="3"/>
        </w:numPr>
        <w:spacing w:before="0" w:after="0"/>
        <w:jc w:val="both"/>
        <w:rPr/>
      </w:pPr>
      <w:r>
        <w:rPr>
          <w:rFonts w:cs="Times New Roman" w:ascii="Times New Roman" w:hAnsi="Times New Roman"/>
        </w:rPr>
        <w:t>типовые причины неисполнения условий кредитного договора и способы погашения просроченной задолженности;</w:t>
      </w:r>
    </w:p>
    <w:p>
      <w:pPr>
        <w:pStyle w:val="Style20"/>
        <w:numPr>
          <w:ilvl w:val="0"/>
          <w:numId w:val="3"/>
        </w:numPr>
        <w:spacing w:before="0" w:after="0"/>
        <w:jc w:val="both"/>
        <w:rPr/>
      </w:pPr>
      <w:r>
        <w:rPr>
          <w:rFonts w:cs="Times New Roman" w:ascii="Times New Roman" w:hAnsi="Times New Roman"/>
        </w:rPr>
        <w:t>меры, принимаемые банком при нарушении условий кредитного договора;</w:t>
      </w:r>
    </w:p>
    <w:p>
      <w:pPr>
        <w:pStyle w:val="Style20"/>
        <w:numPr>
          <w:ilvl w:val="0"/>
          <w:numId w:val="3"/>
        </w:numPr>
        <w:spacing w:before="0" w:after="0"/>
        <w:jc w:val="both"/>
        <w:rPr/>
      </w:pPr>
      <w:r>
        <w:rPr>
          <w:rFonts w:cs="Times New Roman" w:ascii="Times New Roman" w:hAnsi="Times New Roman"/>
        </w:rPr>
        <w:t>отечественную и международную практику взыскания задолженности;</w:t>
      </w:r>
    </w:p>
    <w:p>
      <w:pPr>
        <w:pStyle w:val="Style20"/>
        <w:numPr>
          <w:ilvl w:val="0"/>
          <w:numId w:val="3"/>
        </w:numPr>
        <w:spacing w:before="0" w:after="0"/>
        <w:jc w:val="both"/>
        <w:rPr/>
      </w:pPr>
      <w:r>
        <w:rPr>
          <w:rFonts w:cs="Times New Roman" w:ascii="Times New Roman" w:hAnsi="Times New Roman"/>
        </w:rPr>
        <w:t>методологию мониторинга и анализа показателей качества и эффективности</w:t>
      </w:r>
    </w:p>
    <w:p>
      <w:pPr>
        <w:pStyle w:val="Style20"/>
        <w:numPr>
          <w:ilvl w:val="0"/>
          <w:numId w:val="3"/>
        </w:numPr>
        <w:spacing w:before="0" w:after="0"/>
        <w:jc w:val="both"/>
        <w:rPr/>
      </w:pPr>
      <w:r>
        <w:rPr>
          <w:rFonts w:cs="Times New Roman" w:ascii="Times New Roman" w:hAnsi="Times New Roman"/>
        </w:rPr>
        <w:t>особенности делопроизводства и документооборот на межбанковском рынке; основные условия получения и погашения кредитов, предоставляемых Банком России;</w:t>
      </w:r>
    </w:p>
    <w:p>
      <w:pPr>
        <w:pStyle w:val="Style20"/>
        <w:numPr>
          <w:ilvl w:val="0"/>
          <w:numId w:val="3"/>
        </w:numPr>
        <w:spacing w:before="0" w:after="0"/>
        <w:jc w:val="both"/>
        <w:rPr/>
      </w:pPr>
      <w:r>
        <w:rPr>
          <w:rFonts w:cs="Times New Roman" w:ascii="Times New Roman" w:hAnsi="Times New Roman"/>
        </w:rPr>
        <w:t>порядок оценки кредитного риска и определения суммы создаваемого резерва по выданному кредиту;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91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919"/>
        <w:jc w:val="both"/>
        <w:rPr/>
      </w:pPr>
      <w:r>
        <w:rPr>
          <w:sz w:val="24"/>
          <w:szCs w:val="24"/>
        </w:rPr>
        <w:t>Выполнение заданий по самостоятельной работе должно  формировать навыки работы с литературой, умение выбрать главное, самостоятельность в получении знаний.</w:t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  <w:bookmarkStart w:id="2" w:name="__RefHeading___Toc56010712"/>
      <w:bookmarkStart w:id="3" w:name="__RefHeading___Toc56010712"/>
      <w:bookmarkEnd w:id="3"/>
    </w:p>
    <w:p>
      <w:pPr>
        <w:pStyle w:val="Normal"/>
        <w:numPr>
          <w:ilvl w:val="0"/>
          <w:numId w:val="4"/>
        </w:numPr>
        <w:jc w:val="center"/>
        <w:rPr/>
      </w:pPr>
      <w:r>
        <w:rPr>
          <w:b/>
          <w:sz w:val="24"/>
          <w:szCs w:val="24"/>
        </w:rPr>
        <w:t>Цели, основные виды самостоятельной работы обучающихся</w:t>
      </w:r>
    </w:p>
    <w:p>
      <w:pPr>
        <w:pStyle w:val="Normal"/>
        <w:ind w:firstLine="284"/>
        <w:jc w:val="both"/>
        <w:rPr/>
      </w:pPr>
      <w:r>
        <w:rPr>
          <w:b/>
          <w:bCs/>
          <w:i/>
          <w:sz w:val="24"/>
          <w:szCs w:val="24"/>
        </w:rPr>
        <w:t>Цели самостоятельной внеаудиторной работы студентов</w:t>
      </w:r>
    </w:p>
    <w:p>
      <w:pPr>
        <w:pStyle w:val="Normal"/>
        <w:ind w:firstLine="284"/>
        <w:jc w:val="both"/>
        <w:rPr/>
      </w:pPr>
      <w:r>
        <w:rPr>
          <w:sz w:val="24"/>
          <w:szCs w:val="24"/>
        </w:rPr>
        <w:t>- закрепление, углубление, расширение и систематизация знаний, самостоятельное овладение новым учебным материалом;</w:t>
      </w:r>
    </w:p>
    <w:p>
      <w:pPr>
        <w:pStyle w:val="Normal"/>
        <w:ind w:firstLine="284"/>
        <w:jc w:val="both"/>
        <w:rPr/>
      </w:pPr>
      <w:r>
        <w:rPr>
          <w:sz w:val="24"/>
          <w:szCs w:val="24"/>
        </w:rPr>
        <w:t>- формирование профессиональных явлений;</w:t>
      </w:r>
    </w:p>
    <w:p>
      <w:pPr>
        <w:pStyle w:val="Normal"/>
        <w:ind w:firstLine="284"/>
        <w:jc w:val="both"/>
        <w:rPr/>
      </w:pPr>
      <w:r>
        <w:rPr>
          <w:sz w:val="24"/>
          <w:szCs w:val="24"/>
        </w:rPr>
        <w:t>- формирование умений и навыков самостоятельного умственного труда;</w:t>
      </w:r>
    </w:p>
    <w:p>
      <w:pPr>
        <w:pStyle w:val="Normal"/>
        <w:ind w:firstLine="284"/>
        <w:jc w:val="both"/>
        <w:rPr/>
      </w:pPr>
      <w:r>
        <w:rPr>
          <w:sz w:val="24"/>
          <w:szCs w:val="24"/>
        </w:rPr>
        <w:t>- мотивирование регулярной целенаправленной работы по освоению специальности;</w:t>
      </w:r>
    </w:p>
    <w:p>
      <w:pPr>
        <w:pStyle w:val="Normal"/>
        <w:ind w:firstLine="284"/>
        <w:jc w:val="both"/>
        <w:rPr/>
      </w:pPr>
      <w:r>
        <w:rPr>
          <w:sz w:val="24"/>
          <w:szCs w:val="24"/>
        </w:rPr>
        <w:t>- развитие самостоятельного мышления;</w:t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- формирование убежденности, волевых черт характера, способности к самоорганизации.</w:t>
      </w:r>
    </w:p>
    <w:p>
      <w:pPr>
        <w:pStyle w:val="Normal"/>
        <w:ind w:firstLine="284"/>
        <w:jc w:val="both"/>
        <w:rPr/>
      </w:pPr>
      <w:r>
        <w:rPr/>
      </w:r>
    </w:p>
    <w:tbl>
      <w:tblPr>
        <w:tblW w:w="10434" w:type="dxa"/>
        <w:jc w:val="left"/>
        <w:tblInd w:w="-197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04"/>
        <w:gridCol w:w="4190"/>
        <w:gridCol w:w="567"/>
        <w:gridCol w:w="3472"/>
      </w:tblGrid>
      <w:tr>
        <w:trPr/>
        <w:tc>
          <w:tcPr>
            <w:tcW w:w="10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708" w:leader="none"/>
              </w:tabs>
              <w:jc w:val="center"/>
              <w:rPr/>
            </w:pPr>
            <w:r>
              <w:rPr>
                <w:b/>
                <w:bCs/>
                <w:sz w:val="24"/>
                <w:szCs w:val="24"/>
              </w:rPr>
              <w:t>МДК 02.02  Учет кредитных операций</w:t>
            </w:r>
          </w:p>
        </w:tc>
      </w:tr>
      <w:tr>
        <w:trPr/>
        <w:tc>
          <w:tcPr>
            <w:tcW w:w="220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708" w:leader="none"/>
              </w:tabs>
              <w:rPr/>
            </w:pPr>
            <w:r>
              <w:rPr>
                <w:bCs/>
                <w:sz w:val="24"/>
                <w:szCs w:val="24"/>
              </w:rPr>
              <w:t xml:space="preserve">Учетная  политика банка. </w:t>
            </w:r>
          </w:p>
        </w:tc>
        <w:tc>
          <w:tcPr>
            <w:tcW w:w="41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708" w:leader="none"/>
              </w:tabs>
              <w:rPr/>
            </w:pPr>
            <w:r>
              <w:rPr>
                <w:sz w:val="24"/>
                <w:szCs w:val="24"/>
              </w:rPr>
              <w:t>Решение практико-ориентированных  / ситуационных задач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Курныкина О.В.,Соколинская Н.Э. Организация бухгалтерского учета в банках,  учебник для СПО, 2021</w:t>
            </w:r>
          </w:p>
        </w:tc>
      </w:tr>
      <w:tr>
        <w:trPr/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708" w:leader="none"/>
              </w:tabs>
              <w:rPr/>
            </w:pPr>
            <w:r>
              <w:rPr>
                <w:bCs/>
                <w:sz w:val="24"/>
                <w:szCs w:val="24"/>
              </w:rPr>
              <w:t>Способы обеспечения возвратности кредита.  Порядок отражения в учете выдачи кредитов различных видов</w:t>
            </w:r>
          </w:p>
        </w:tc>
        <w:tc>
          <w:tcPr>
            <w:tcW w:w="4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708" w:leader="none"/>
              </w:tabs>
              <w:rPr/>
            </w:pPr>
            <w:r>
              <w:rPr>
                <w:sz w:val="24"/>
                <w:szCs w:val="24"/>
              </w:rPr>
              <w:t>Решение практико-ориентированных  / ситуационных задач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Костюкова Е.И.,Фролов А.В.,Фролова А.А., Организация бухгалтерского учета в банках,  учебник для СПО, 2021</w:t>
            </w:r>
          </w:p>
        </w:tc>
      </w:tr>
      <w:tr>
        <w:trPr/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708" w:leader="none"/>
              </w:tabs>
              <w:rPr/>
            </w:pPr>
            <w:r>
              <w:rPr>
                <w:bCs/>
                <w:sz w:val="24"/>
                <w:szCs w:val="24"/>
              </w:rPr>
              <w:t>Учёт межбанковских кредитов. Формирование  резервов на возможные потери по  ссудам</w:t>
            </w:r>
          </w:p>
        </w:tc>
        <w:tc>
          <w:tcPr>
            <w:tcW w:w="4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708" w:leader="none"/>
              </w:tabs>
              <w:rPr/>
            </w:pPr>
            <w:r>
              <w:rPr>
                <w:sz w:val="24"/>
                <w:szCs w:val="24"/>
              </w:rPr>
              <w:t>Решение практико-ориентированных  / ситуационных задач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Курныкина О.В.,Соколинская Н.Э. Организация бухгалтерского учета в банках,  учебник для СПО, 2021</w:t>
            </w:r>
          </w:p>
        </w:tc>
      </w:tr>
      <w:tr>
        <w:trPr/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708" w:leader="none"/>
              </w:tabs>
              <w:rPr/>
            </w:pPr>
            <w:r>
              <w:rPr>
                <w:bCs/>
                <w:sz w:val="24"/>
                <w:szCs w:val="24"/>
              </w:rPr>
              <w:t>Отражение погашения кредитов</w:t>
            </w:r>
          </w:p>
        </w:tc>
        <w:tc>
          <w:tcPr>
            <w:tcW w:w="4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708" w:leader="none"/>
              </w:tabs>
              <w:rPr/>
            </w:pPr>
            <w:r>
              <w:rPr>
                <w:sz w:val="24"/>
                <w:szCs w:val="24"/>
              </w:rPr>
              <w:t>Решение практико-ориентированных  / ситуационных задач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Костюкова Е.И.,Фролов А.В.,Фролова А.А., Организация бухгалтерского учета в банках,  учебник для СПО, 2021</w:t>
            </w:r>
          </w:p>
        </w:tc>
      </w:tr>
      <w:tr>
        <w:trPr/>
        <w:tc>
          <w:tcPr>
            <w:tcW w:w="6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708" w:leader="none"/>
              </w:tabs>
              <w:rPr/>
            </w:pPr>
            <w:r>
              <w:rPr>
                <w:b/>
                <w:bCs/>
                <w:sz w:val="24"/>
                <w:szCs w:val="24"/>
              </w:rPr>
              <w:t>Итого по МДК 02.02 Учет кредитных операций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709"/>
        <w:jc w:val="both"/>
        <w:rPr/>
      </w:pPr>
      <w:r>
        <w:rPr>
          <w:sz w:val="24"/>
          <w:szCs w:val="24"/>
        </w:rPr>
        <w:t>Перед выполнением внеаудиторной самостоятельной работы преподаватель проводит инструктаж (консультацию) с определением цели задания, его содержания, сроков выполнения, основных требований к результатам работы, критериев оценки, форм контроля и перечня литературы.</w:t>
      </w:r>
    </w:p>
    <w:p>
      <w:pPr>
        <w:pStyle w:val="Normal"/>
        <w:ind w:firstLine="709"/>
        <w:jc w:val="both"/>
        <w:rPr/>
      </w:pPr>
      <w:r>
        <w:rPr>
          <w:sz w:val="24"/>
          <w:szCs w:val="24"/>
        </w:rPr>
        <w:t>Согласно требованиям государственных образовательных стандартов среднего профессионального образования и плана учебного процесса каждый студент обязан выполнить по каждой учебной дисциплине определенный объем внеаудиторной  самостоятельной   работы.</w:t>
      </w:r>
    </w:p>
    <w:p>
      <w:pPr>
        <w:pStyle w:val="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0"/>
          <w:numId w:val="4"/>
        </w:numPr>
        <w:jc w:val="center"/>
        <w:rPr/>
      </w:pPr>
      <w:r>
        <w:rPr>
          <w:b/>
          <w:sz w:val="24"/>
          <w:szCs w:val="24"/>
        </w:rPr>
        <w:t>Критерии оценки результатов самостоятельной работы по МДК 02.02 Учет кредитных операций</w:t>
      </w:r>
    </w:p>
    <w:p>
      <w:pPr>
        <w:pStyle w:val="Normal"/>
        <w:ind w:firstLine="284"/>
        <w:jc w:val="both"/>
        <w:rPr/>
      </w:pPr>
      <w:r>
        <w:rPr>
          <w:sz w:val="24"/>
          <w:szCs w:val="24"/>
        </w:rPr>
        <w:t>Критериями оценки результатов внеаудиторной самостоятельной работы обучающихся являются:</w:t>
      </w:r>
    </w:p>
    <w:p>
      <w:pPr>
        <w:pStyle w:val="Normal"/>
        <w:ind w:firstLine="284"/>
        <w:jc w:val="both"/>
        <w:rPr/>
      </w:pPr>
      <w:r>
        <w:rPr>
          <w:sz w:val="24"/>
          <w:szCs w:val="24"/>
        </w:rPr>
        <w:t>- уровень освоения учебного материала;</w:t>
      </w:r>
    </w:p>
    <w:p>
      <w:pPr>
        <w:pStyle w:val="Normal"/>
        <w:ind w:firstLine="284"/>
        <w:jc w:val="both"/>
        <w:rPr/>
      </w:pPr>
      <w:r>
        <w:rPr>
          <w:sz w:val="24"/>
          <w:szCs w:val="24"/>
        </w:rPr>
        <w:t>- уровень умения использовать теоретические знания при выполнении практических задач;</w:t>
      </w:r>
    </w:p>
    <w:p>
      <w:pPr>
        <w:pStyle w:val="Normal"/>
        <w:ind w:firstLine="284"/>
        <w:jc w:val="both"/>
        <w:rPr/>
      </w:pPr>
      <w:r>
        <w:rPr>
          <w:sz w:val="24"/>
          <w:szCs w:val="24"/>
        </w:rPr>
        <w:t>- уровень сформированности общеучебных умений;</w:t>
      </w:r>
    </w:p>
    <w:p>
      <w:pPr>
        <w:pStyle w:val="Normal"/>
        <w:ind w:firstLine="284"/>
        <w:jc w:val="both"/>
        <w:rPr/>
      </w:pPr>
      <w:r>
        <w:rPr>
          <w:sz w:val="24"/>
          <w:szCs w:val="24"/>
        </w:rPr>
        <w:t>- уровень умения активно использовать электронные образовательные ресурсы, находить требующуюся информацию, изучать ее и применять на практике;</w:t>
      </w:r>
    </w:p>
    <w:p>
      <w:pPr>
        <w:pStyle w:val="Normal"/>
        <w:ind w:firstLine="284"/>
        <w:jc w:val="both"/>
        <w:rPr/>
      </w:pPr>
      <w:r>
        <w:rPr>
          <w:sz w:val="24"/>
          <w:szCs w:val="24"/>
        </w:rPr>
        <w:t>- обоснованность и четкость изложения материала;</w:t>
      </w:r>
    </w:p>
    <w:p>
      <w:pPr>
        <w:pStyle w:val="Normal"/>
        <w:ind w:firstLine="284"/>
        <w:jc w:val="both"/>
        <w:rPr/>
      </w:pPr>
      <w:r>
        <w:rPr>
          <w:sz w:val="24"/>
          <w:szCs w:val="24"/>
        </w:rPr>
        <w:t>- оформление материала в соответствии с требованиями стандарта;</w:t>
      </w:r>
    </w:p>
    <w:p>
      <w:pPr>
        <w:pStyle w:val="Normal"/>
        <w:ind w:firstLine="284"/>
        <w:jc w:val="both"/>
        <w:rPr/>
      </w:pPr>
      <w:r>
        <w:rPr>
          <w:sz w:val="24"/>
          <w:szCs w:val="24"/>
        </w:rPr>
        <w:t>- уровень умения ориентироваться в потоке информации, выделять</w:t>
      </w:r>
    </w:p>
    <w:p>
      <w:pPr>
        <w:pStyle w:val="Normal"/>
        <w:ind w:firstLine="284"/>
        <w:jc w:val="both"/>
        <w:rPr/>
      </w:pPr>
      <w:r>
        <w:rPr>
          <w:sz w:val="24"/>
          <w:szCs w:val="24"/>
        </w:rPr>
        <w:t>главное;</w:t>
      </w:r>
    </w:p>
    <w:p>
      <w:pPr>
        <w:pStyle w:val="Normal"/>
        <w:ind w:firstLine="284"/>
        <w:jc w:val="both"/>
        <w:rPr/>
      </w:pPr>
      <w:r>
        <w:rPr>
          <w:sz w:val="24"/>
          <w:szCs w:val="24"/>
        </w:rPr>
        <w:t>- уровень умения четко сформулировать проблему, предложив ее решение, критически оценить решение и его последствия;</w:t>
      </w:r>
    </w:p>
    <w:p>
      <w:pPr>
        <w:pStyle w:val="Normal"/>
        <w:ind w:firstLine="284"/>
        <w:jc w:val="both"/>
        <w:rPr/>
      </w:pPr>
      <w:r>
        <w:rPr>
          <w:sz w:val="24"/>
          <w:szCs w:val="24"/>
        </w:rPr>
        <w:t>- уровень умения определить, проанализировать альтернативные возможности, варианты действий;</w:t>
      </w:r>
    </w:p>
    <w:p>
      <w:pPr>
        <w:pStyle w:val="Normal"/>
        <w:ind w:firstLine="284"/>
        <w:jc w:val="both"/>
        <w:rPr/>
      </w:pPr>
      <w:r>
        <w:rPr>
          <w:sz w:val="24"/>
          <w:szCs w:val="24"/>
        </w:rPr>
        <w:t>- уровень умения сформулировать собственную позицию, оценку и аргументировать ее.</w:t>
      </w:r>
    </w:p>
    <w:p>
      <w:pPr>
        <w:pStyle w:val="Normal"/>
        <w:shd w:val="clear" w:color="auto" w:fill="FFFFFF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shd w:val="clear" w:color="auto" w:fill="FFFFFF"/>
        <w:jc w:val="both"/>
        <w:rPr/>
      </w:pPr>
      <w:r>
        <w:rPr>
          <w:b/>
          <w:bCs/>
          <w:sz w:val="24"/>
          <w:szCs w:val="24"/>
        </w:rPr>
        <w:t>Ситуационные практико-ориентированные задачи для самостоятельной работы по МДК 02.02 Учет кредитных операций</w:t>
      </w:r>
    </w:p>
    <w:p>
      <w:pPr>
        <w:pStyle w:val="ConsPlusNormal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Normal"/>
        <w:jc w:val="both"/>
        <w:rPr/>
      </w:pPr>
      <w:r>
        <w:rPr>
          <w:rFonts w:cs="Times New Roman" w:ascii="Times New Roman" w:hAnsi="Times New Roman"/>
          <w:b/>
          <w:sz w:val="24"/>
          <w:szCs w:val="24"/>
        </w:rPr>
        <w:t xml:space="preserve">ЗАДАЧА </w:t>
      </w:r>
      <w:r>
        <w:rPr>
          <w:rFonts w:cs="Times New Roman" w:ascii="Times New Roman" w:hAnsi="Times New Roman"/>
          <w:sz w:val="24"/>
          <w:szCs w:val="24"/>
        </w:rPr>
        <w:t>1. Используя Положение Банка России № 579-П «О правилах ведения бухгалтерского учета в кредитных организациях, расположенных на территории Российской Федерации» сформировать структуру плана счетов в кредитных организациях по форме таблицы 1.</w:t>
      </w:r>
    </w:p>
    <w:p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jc w:val="right"/>
        <w:rPr/>
      </w:pPr>
      <w:r>
        <w:rPr>
          <w:rFonts w:cs="Times New Roman" w:ascii="Times New Roman" w:hAnsi="Times New Roman"/>
          <w:sz w:val="24"/>
          <w:szCs w:val="24"/>
        </w:rPr>
        <w:t>Таблица 1.</w:t>
      </w:r>
    </w:p>
    <w:p>
      <w:pPr>
        <w:pStyle w:val="ConsPlusNormal"/>
        <w:jc w:val="center"/>
        <w:rPr/>
      </w:pPr>
      <w:r>
        <w:rPr/>
        <w:t>Структура плана счетов в кредитных организациях РФ</w:t>
      </w:r>
    </w:p>
    <w:tbl>
      <w:tblPr>
        <w:tblW w:w="9190" w:type="dxa"/>
        <w:jc w:val="left"/>
        <w:tblInd w:w="-5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68"/>
        <w:gridCol w:w="3233"/>
        <w:gridCol w:w="3689"/>
      </w:tblGrid>
      <w:tr>
        <w:trPr/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center" w:pos="5173" w:leader="none"/>
              </w:tabs>
              <w:jc w:val="center"/>
              <w:rPr/>
            </w:pPr>
            <w:r>
              <w:rPr/>
              <w:t>Группа счетов бух.учета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center" w:pos="5173" w:leader="none"/>
              </w:tabs>
              <w:jc w:val="center"/>
              <w:rPr/>
            </w:pPr>
            <w:r>
              <w:rPr/>
              <w:t>Раздел счетов бух.учета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center" w:pos="5173" w:leader="none"/>
              </w:tabs>
              <w:jc w:val="center"/>
              <w:rPr/>
            </w:pPr>
            <w:r>
              <w:rPr/>
              <w:t>Подразделы и примеры счетов, сгруппированных в разделе</w:t>
            </w:r>
          </w:p>
        </w:tc>
      </w:tr>
      <w:tr>
        <w:trPr>
          <w:cantSplit w:val="true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center" w:pos="5173" w:leader="none"/>
              </w:tabs>
              <w:jc w:val="both"/>
              <w:rPr/>
            </w:pPr>
            <w:r>
              <w:rPr/>
              <w:t>А.Балансовые счета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center" w:pos="5173" w:leader="none"/>
              </w:tabs>
              <w:jc w:val="both"/>
              <w:rPr/>
            </w:pPr>
            <w:r>
              <w:rPr/>
              <w:t xml:space="preserve">Раздел 1. Капитал 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center" w:pos="5173" w:leader="none"/>
              </w:tabs>
              <w:jc w:val="both"/>
              <w:rPr/>
            </w:pPr>
            <w:r>
              <w:rPr/>
              <w:t>Уставный капитал КО</w:t>
            </w:r>
          </w:p>
          <w:p>
            <w:pPr>
              <w:pStyle w:val="Normal"/>
              <w:tabs>
                <w:tab w:val="clear" w:pos="708"/>
                <w:tab w:val="center" w:pos="5173" w:leader="none"/>
              </w:tabs>
              <w:jc w:val="both"/>
              <w:rPr/>
            </w:pPr>
            <w:r>
              <w:rPr/>
              <w:t>Собственные доли уставного капитала, выкупленные КО</w:t>
            </w:r>
          </w:p>
          <w:p>
            <w:pPr>
              <w:pStyle w:val="Normal"/>
              <w:tabs>
                <w:tab w:val="clear" w:pos="708"/>
                <w:tab w:val="center" w:pos="5173" w:leader="none"/>
              </w:tabs>
              <w:jc w:val="both"/>
              <w:rPr/>
            </w:pPr>
            <w:r>
              <w:rPr/>
              <w:t>Резервный капитал</w:t>
            </w:r>
          </w:p>
          <w:p>
            <w:pPr>
              <w:pStyle w:val="Normal"/>
              <w:tabs>
                <w:tab w:val="clear" w:pos="708"/>
                <w:tab w:val="center" w:pos="5173" w:leader="none"/>
              </w:tabs>
              <w:jc w:val="both"/>
              <w:rPr/>
            </w:pPr>
            <w:r>
              <w:rPr/>
              <w:t>Добавочный капитал</w:t>
            </w:r>
          </w:p>
          <w:p>
            <w:pPr>
              <w:pStyle w:val="Normal"/>
              <w:tabs>
                <w:tab w:val="clear" w:pos="708"/>
                <w:tab w:val="center" w:pos="5173" w:leader="none"/>
              </w:tabs>
              <w:jc w:val="both"/>
              <w:rPr/>
            </w:pPr>
            <w:r>
              <w:rPr/>
              <w:t>Нераспределенная прибыль</w:t>
            </w:r>
          </w:p>
          <w:p>
            <w:pPr>
              <w:pStyle w:val="Normal"/>
              <w:tabs>
                <w:tab w:val="clear" w:pos="708"/>
                <w:tab w:val="center" w:pos="5173" w:leader="none"/>
              </w:tabs>
              <w:jc w:val="both"/>
              <w:rPr/>
            </w:pPr>
            <w:r>
              <w:rPr/>
              <w:t>Непокрытый убыток</w:t>
            </w:r>
          </w:p>
        </w:tc>
      </w:tr>
    </w:tbl>
    <w:p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1"/>
        <w:numPr>
          <w:ilvl w:val="0"/>
          <w:numId w:val="1"/>
        </w:numPr>
        <w:spacing w:before="0" w:after="0"/>
        <w:jc w:val="both"/>
        <w:rPr/>
      </w:pPr>
      <w:r>
        <w:rPr>
          <w:rFonts w:ascii="Times New Roman" w:hAnsi="Times New Roman"/>
          <w:color w:val="000000"/>
          <w:sz w:val="24"/>
          <w:szCs w:val="24"/>
        </w:rPr>
        <w:t xml:space="preserve">ЗАДАЧА 2. </w:t>
      </w:r>
      <w:r>
        <w:rPr>
          <w:rFonts w:ascii="Times New Roman" w:hAnsi="Times New Roman"/>
          <w:b w:val="false"/>
          <w:color w:val="000000"/>
          <w:sz w:val="24"/>
          <w:szCs w:val="24"/>
        </w:rPr>
        <w:t>Используя Положение Банка России № 590-П  «О правилах ведения бухгалтерского учета в кредитных организациях, расположенных на территории Российской Федерации», определите, какие из приведенных счетов являются балансовыми, внебалансовыми, активными, пассивными, какие  из балансовых счетов относится к счетам первого и второго порядков. Укажите, какие счета из приведенных ниже исключены из плана счетов в кредитных организациях.</w:t>
      </w:r>
    </w:p>
    <w:p>
      <w:pPr>
        <w:pStyle w:val="Style1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15"/>
        <w:rPr/>
      </w:pPr>
      <w:r>
        <w:rPr>
          <w:sz w:val="24"/>
        </w:rPr>
        <w:t>СИТУАЦИЯ 1</w:t>
      </w:r>
    </w:p>
    <w:p>
      <w:pPr>
        <w:pStyle w:val="Normal"/>
        <w:numPr>
          <w:ilvl w:val="0"/>
          <w:numId w:val="5"/>
        </w:numPr>
        <w:ind w:left="0" w:hanging="0"/>
        <w:jc w:val="both"/>
        <w:rPr/>
      </w:pPr>
      <w:r>
        <w:rPr>
          <w:sz w:val="24"/>
          <w:szCs w:val="24"/>
        </w:rPr>
        <w:t>уставный капитал кредитных организаций, созданных в форме акционерного общества</w:t>
      </w:r>
    </w:p>
    <w:p>
      <w:pPr>
        <w:pStyle w:val="Normal"/>
        <w:numPr>
          <w:ilvl w:val="0"/>
          <w:numId w:val="5"/>
        </w:numPr>
        <w:jc w:val="both"/>
        <w:rPr/>
      </w:pPr>
      <w:r>
        <w:rPr>
          <w:sz w:val="24"/>
          <w:szCs w:val="24"/>
        </w:rPr>
        <w:t>резервный фонд</w:t>
      </w:r>
    </w:p>
    <w:p>
      <w:pPr>
        <w:pStyle w:val="Normal"/>
        <w:numPr>
          <w:ilvl w:val="0"/>
          <w:numId w:val="5"/>
        </w:numPr>
        <w:jc w:val="both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касса кредитных организаций</w:t>
      </w:r>
    </w:p>
    <w:p>
      <w:pPr>
        <w:pStyle w:val="Normal"/>
        <w:numPr>
          <w:ilvl w:val="0"/>
          <w:numId w:val="5"/>
        </w:numPr>
        <w:jc w:val="both"/>
        <w:rPr/>
      </w:pPr>
      <w:r>
        <w:rPr>
          <w:sz w:val="24"/>
          <w:szCs w:val="24"/>
        </w:rPr>
        <w:t>платежные документы в иностранной валюте</w:t>
      </w:r>
    </w:p>
    <w:p>
      <w:pPr>
        <w:pStyle w:val="Normal"/>
        <w:numPr>
          <w:ilvl w:val="0"/>
          <w:numId w:val="5"/>
        </w:numPr>
        <w:jc w:val="both"/>
        <w:rPr/>
      </w:pPr>
      <w:r>
        <w:rPr>
          <w:sz w:val="24"/>
          <w:szCs w:val="24"/>
        </w:rPr>
        <w:t>корреспондентские счета кредитных организаций в Банке России</w:t>
      </w:r>
    </w:p>
    <w:p>
      <w:pPr>
        <w:pStyle w:val="Normal"/>
        <w:numPr>
          <w:ilvl w:val="0"/>
          <w:numId w:val="5"/>
        </w:numPr>
        <w:jc w:val="both"/>
        <w:rPr/>
      </w:pPr>
      <w:r>
        <w:rPr>
          <w:sz w:val="24"/>
          <w:szCs w:val="24"/>
        </w:rPr>
        <w:t>счета банков для расчетов чеками</w:t>
      </w:r>
    </w:p>
    <w:p>
      <w:pPr>
        <w:pStyle w:val="Normal"/>
        <w:numPr>
          <w:ilvl w:val="0"/>
          <w:numId w:val="5"/>
        </w:numPr>
        <w:jc w:val="both"/>
        <w:rPr/>
      </w:pPr>
      <w:r>
        <w:rPr>
          <w:sz w:val="24"/>
          <w:szCs w:val="24"/>
        </w:rPr>
        <w:t>кредиты, полученные кредитными организациями от кредитных организаций на срок от 8 до 30 дней</w:t>
      </w:r>
    </w:p>
    <w:p>
      <w:pPr>
        <w:pStyle w:val="Normal"/>
        <w:numPr>
          <w:ilvl w:val="0"/>
          <w:numId w:val="5"/>
        </w:numPr>
        <w:jc w:val="both"/>
        <w:rPr/>
      </w:pPr>
      <w:r>
        <w:rPr>
          <w:sz w:val="24"/>
          <w:szCs w:val="24"/>
        </w:rPr>
        <w:t>капитальные вложения (собственные)</w:t>
      </w:r>
    </w:p>
    <w:p>
      <w:pPr>
        <w:pStyle w:val="Normal"/>
        <w:numPr>
          <w:ilvl w:val="0"/>
          <w:numId w:val="5"/>
        </w:numPr>
        <w:jc w:val="both"/>
        <w:rPr/>
      </w:pPr>
      <w:r>
        <w:rPr>
          <w:sz w:val="24"/>
          <w:szCs w:val="24"/>
        </w:rPr>
        <w:t>нематериальные активы</w:t>
      </w:r>
    </w:p>
    <w:p>
      <w:pPr>
        <w:pStyle w:val="Normal"/>
        <w:numPr>
          <w:ilvl w:val="0"/>
          <w:numId w:val="5"/>
        </w:numPr>
        <w:jc w:val="both"/>
        <w:rPr/>
      </w:pPr>
      <w:r>
        <w:rPr>
          <w:sz w:val="24"/>
          <w:szCs w:val="24"/>
        </w:rPr>
        <w:t>фонды экономического стимулирования</w:t>
      </w:r>
    </w:p>
    <w:p>
      <w:pPr>
        <w:pStyle w:val="Normal"/>
        <w:numPr>
          <w:ilvl w:val="0"/>
          <w:numId w:val="5"/>
        </w:numPr>
        <w:jc w:val="both"/>
        <w:rPr/>
      </w:pPr>
      <w:r>
        <w:rPr>
          <w:sz w:val="24"/>
          <w:szCs w:val="24"/>
        </w:rPr>
        <w:t>кредиты, предоставленные коммерческим предприятиям, находящимися в федеральной собственности на срок от 31 до 180 дней</w:t>
      </w:r>
    </w:p>
    <w:p>
      <w:pPr>
        <w:pStyle w:val="Normal"/>
        <w:numPr>
          <w:ilvl w:val="0"/>
          <w:numId w:val="5"/>
        </w:numPr>
        <w:jc w:val="both"/>
        <w:rPr/>
      </w:pPr>
      <w:r>
        <w:rPr>
          <w:sz w:val="24"/>
          <w:szCs w:val="24"/>
        </w:rPr>
        <w:t>проценты за кредит, не уплаченные в срок</w:t>
      </w:r>
    </w:p>
    <w:p>
      <w:pPr>
        <w:pStyle w:val="Normal"/>
        <w:numPr>
          <w:ilvl w:val="0"/>
          <w:numId w:val="5"/>
        </w:numPr>
        <w:jc w:val="both"/>
        <w:rPr/>
      </w:pPr>
      <w:r>
        <w:rPr>
          <w:sz w:val="24"/>
          <w:szCs w:val="24"/>
        </w:rPr>
        <w:t>кредиты, не погашенные в срок</w:t>
      </w:r>
    </w:p>
    <w:p>
      <w:pPr>
        <w:pStyle w:val="Normal"/>
        <w:numPr>
          <w:ilvl w:val="0"/>
          <w:numId w:val="5"/>
        </w:numPr>
        <w:jc w:val="both"/>
        <w:rPr/>
      </w:pPr>
      <w:r>
        <w:rPr>
          <w:sz w:val="24"/>
          <w:szCs w:val="24"/>
        </w:rPr>
        <w:t>расчеты по отдельным операциям</w:t>
      </w:r>
    </w:p>
    <w:p>
      <w:pPr>
        <w:pStyle w:val="Normal"/>
        <w:numPr>
          <w:ilvl w:val="0"/>
          <w:numId w:val="5"/>
        </w:numPr>
        <w:jc w:val="both"/>
        <w:rPr/>
      </w:pPr>
      <w:r>
        <w:rPr>
          <w:sz w:val="24"/>
          <w:szCs w:val="24"/>
        </w:rPr>
        <w:t>расчеты с дебиторами и кредиторами</w:t>
      </w:r>
    </w:p>
    <w:p>
      <w:pPr>
        <w:pStyle w:val="Normal"/>
        <w:numPr>
          <w:ilvl w:val="0"/>
          <w:numId w:val="5"/>
        </w:numPr>
        <w:jc w:val="both"/>
        <w:rPr/>
      </w:pPr>
      <w:r>
        <w:rPr>
          <w:sz w:val="24"/>
          <w:szCs w:val="24"/>
        </w:rPr>
        <w:t>основные средства банков</w:t>
      </w:r>
    </w:p>
    <w:p>
      <w:pPr>
        <w:pStyle w:val="Normal"/>
        <w:numPr>
          <w:ilvl w:val="0"/>
          <w:numId w:val="5"/>
        </w:numPr>
        <w:jc w:val="both"/>
        <w:rPr/>
      </w:pPr>
      <w:r>
        <w:rPr>
          <w:sz w:val="24"/>
          <w:szCs w:val="24"/>
        </w:rPr>
        <w:t>эмиссионный доход</w:t>
      </w:r>
    </w:p>
    <w:p>
      <w:pPr>
        <w:pStyle w:val="Normal"/>
        <w:numPr>
          <w:ilvl w:val="0"/>
          <w:numId w:val="5"/>
        </w:numPr>
        <w:jc w:val="both"/>
        <w:rPr/>
      </w:pPr>
      <w:r>
        <w:rPr>
          <w:sz w:val="24"/>
          <w:szCs w:val="24"/>
        </w:rPr>
        <w:t>прирост стоимости имущества при переоценке</w:t>
      </w:r>
    </w:p>
    <w:p>
      <w:pPr>
        <w:pStyle w:val="Normal"/>
        <w:numPr>
          <w:ilvl w:val="0"/>
          <w:numId w:val="5"/>
        </w:numPr>
        <w:jc w:val="both"/>
        <w:rPr/>
      </w:pPr>
      <w:r>
        <w:rPr>
          <w:sz w:val="24"/>
          <w:szCs w:val="24"/>
        </w:rPr>
        <w:t>прибыль отчетного года</w:t>
      </w:r>
    </w:p>
    <w:p>
      <w:pPr>
        <w:pStyle w:val="Normal"/>
        <w:numPr>
          <w:ilvl w:val="0"/>
          <w:numId w:val="5"/>
        </w:numPr>
        <w:jc w:val="both"/>
        <w:rPr/>
      </w:pPr>
      <w:r>
        <w:rPr>
          <w:sz w:val="24"/>
          <w:szCs w:val="24"/>
        </w:rPr>
        <w:t>убытки отчетного года</w:t>
      </w:r>
    </w:p>
    <w:p>
      <w:pPr>
        <w:pStyle w:val="Normal"/>
        <w:numPr>
          <w:ilvl w:val="0"/>
          <w:numId w:val="5"/>
        </w:numPr>
        <w:jc w:val="both"/>
        <w:rPr/>
      </w:pPr>
      <w:r>
        <w:rPr>
          <w:sz w:val="24"/>
          <w:szCs w:val="24"/>
        </w:rPr>
        <w:t>проценты, уплаченные за привлеченные кредиты</w:t>
      </w:r>
    </w:p>
    <w:p>
      <w:pPr>
        <w:pStyle w:val="Normal"/>
        <w:numPr>
          <w:ilvl w:val="0"/>
          <w:numId w:val="5"/>
        </w:numPr>
        <w:jc w:val="both"/>
        <w:rPr/>
      </w:pPr>
      <w:r>
        <w:rPr>
          <w:sz w:val="24"/>
          <w:szCs w:val="24"/>
        </w:rPr>
        <w:t>проценты, полученные за предоставленные кредиты</w:t>
      </w:r>
    </w:p>
    <w:p>
      <w:pPr>
        <w:pStyle w:val="Normal"/>
        <w:numPr>
          <w:ilvl w:val="0"/>
          <w:numId w:val="5"/>
        </w:numPr>
        <w:jc w:val="both"/>
        <w:rPr/>
      </w:pPr>
      <w:r>
        <w:rPr>
          <w:sz w:val="24"/>
          <w:szCs w:val="24"/>
        </w:rPr>
        <w:t>доходы будущих периодов по кредитным операциям</w:t>
      </w:r>
    </w:p>
    <w:p>
      <w:pPr>
        <w:pStyle w:val="Normal"/>
        <w:numPr>
          <w:ilvl w:val="0"/>
          <w:numId w:val="5"/>
        </w:numPr>
        <w:jc w:val="both"/>
        <w:rPr/>
      </w:pPr>
      <w:r>
        <w:rPr>
          <w:sz w:val="24"/>
          <w:szCs w:val="24"/>
        </w:rPr>
        <w:t>использование прибыли отчетного года</w:t>
      </w:r>
    </w:p>
    <w:p>
      <w:pPr>
        <w:pStyle w:val="Normal"/>
        <w:numPr>
          <w:ilvl w:val="0"/>
          <w:numId w:val="5"/>
        </w:numPr>
        <w:jc w:val="both"/>
        <w:rPr/>
      </w:pPr>
      <w:r>
        <w:rPr>
          <w:sz w:val="24"/>
          <w:szCs w:val="24"/>
        </w:rPr>
        <w:t>бланки собственных ценных бумаг для распространения</w:t>
      </w:r>
    </w:p>
    <w:p>
      <w:pPr>
        <w:pStyle w:val="Normal"/>
        <w:numPr>
          <w:ilvl w:val="0"/>
          <w:numId w:val="5"/>
        </w:numPr>
        <w:jc w:val="both"/>
        <w:rPr/>
      </w:pPr>
      <w:r>
        <w:rPr>
          <w:sz w:val="24"/>
          <w:szCs w:val="24"/>
        </w:rPr>
        <w:t>открытые кредитные линии по предоставлению кредитов</w:t>
      </w:r>
    </w:p>
    <w:p>
      <w:pPr>
        <w:pStyle w:val="Normal"/>
        <w:numPr>
          <w:ilvl w:val="0"/>
          <w:numId w:val="5"/>
        </w:numPr>
        <w:jc w:val="both"/>
        <w:rPr/>
      </w:pPr>
      <w:r>
        <w:rPr>
          <w:sz w:val="24"/>
          <w:szCs w:val="24"/>
        </w:rPr>
        <w:t>расчетные документы, не оплаченные в срок</w:t>
      </w:r>
    </w:p>
    <w:p>
      <w:pPr>
        <w:pStyle w:val="Normal"/>
        <w:numPr>
          <w:ilvl w:val="0"/>
          <w:numId w:val="5"/>
        </w:numPr>
        <w:jc w:val="both"/>
        <w:rPr/>
      </w:pPr>
      <w:r>
        <w:rPr>
          <w:sz w:val="24"/>
          <w:szCs w:val="24"/>
        </w:rPr>
        <w:t xml:space="preserve">гарантии, выданные банком </w:t>
      </w:r>
    </w:p>
    <w:p>
      <w:pPr>
        <w:pStyle w:val="Normal"/>
        <w:numPr>
          <w:ilvl w:val="0"/>
          <w:numId w:val="5"/>
        </w:numPr>
        <w:jc w:val="both"/>
        <w:rPr/>
      </w:pPr>
      <w:r>
        <w:rPr>
          <w:sz w:val="24"/>
          <w:szCs w:val="24"/>
        </w:rPr>
        <w:t>недостача ценных бумаг</w:t>
      </w:r>
    </w:p>
    <w:p>
      <w:pPr>
        <w:pStyle w:val="Normal"/>
        <w:numPr>
          <w:ilvl w:val="0"/>
          <w:numId w:val="5"/>
        </w:numPr>
        <w:jc w:val="both"/>
        <w:rPr/>
      </w:pPr>
      <w:r>
        <w:rPr>
          <w:sz w:val="24"/>
          <w:szCs w:val="24"/>
        </w:rPr>
        <w:t>нереализованные курсовые разницы по переоценке ценных бумаг</w:t>
      </w:r>
    </w:p>
    <w:p>
      <w:pPr>
        <w:pStyle w:val="Normal"/>
        <w:numPr>
          <w:ilvl w:val="0"/>
          <w:numId w:val="5"/>
        </w:numPr>
        <w:jc w:val="both"/>
        <w:rPr/>
      </w:pPr>
      <w:r>
        <w:rPr>
          <w:sz w:val="24"/>
          <w:szCs w:val="24"/>
        </w:rPr>
        <w:t>задолженность по процентным платежам по основному долгу, списанному из-за невозможности взыскания</w:t>
      </w:r>
    </w:p>
    <w:p>
      <w:pPr>
        <w:pStyle w:val="Normal"/>
        <w:numPr>
          <w:ilvl w:val="0"/>
          <w:numId w:val="5"/>
        </w:numPr>
        <w:jc w:val="both"/>
        <w:rPr/>
      </w:pPr>
      <w:r>
        <w:rPr>
          <w:sz w:val="24"/>
          <w:szCs w:val="24"/>
        </w:rPr>
        <w:t>долги, списанные в убыток</w:t>
      </w:r>
    </w:p>
    <w:p>
      <w:pPr>
        <w:pStyle w:val="Normal"/>
        <w:ind w:left="36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360" w:hanging="0"/>
        <w:jc w:val="both"/>
        <w:rPr/>
      </w:pPr>
      <w:r>
        <w:rPr>
          <w:sz w:val="24"/>
          <w:szCs w:val="24"/>
        </w:rPr>
        <w:t>СИТУАЦИЯ 2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0" w:leader="none"/>
        </w:tabs>
        <w:ind w:left="0" w:firstLine="360"/>
        <w:jc w:val="both"/>
        <w:rPr/>
      </w:pPr>
      <w:r>
        <w:rPr>
          <w:sz w:val="24"/>
          <w:szCs w:val="24"/>
        </w:rPr>
        <w:t>кредит, предоставленный негосударственным некоммерческим организациям при недостатке средств на расчетном счете (овердрафт)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0" w:leader="none"/>
        </w:tabs>
        <w:ind w:left="0" w:firstLine="360"/>
        <w:jc w:val="both"/>
        <w:rPr/>
      </w:pPr>
      <w:r>
        <w:rPr>
          <w:sz w:val="24"/>
          <w:szCs w:val="24"/>
        </w:rPr>
        <w:t>выпущенные сберегательные сертификаты со сроком погашения от 91 до 180 дней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0" w:leader="none"/>
        </w:tabs>
        <w:ind w:left="0" w:firstLine="360"/>
        <w:jc w:val="both"/>
        <w:rPr/>
      </w:pPr>
      <w:r>
        <w:rPr>
          <w:sz w:val="24"/>
          <w:szCs w:val="24"/>
        </w:rPr>
        <w:t>фонды накопления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0" w:leader="none"/>
        </w:tabs>
        <w:ind w:left="0" w:firstLine="360"/>
        <w:jc w:val="both"/>
        <w:rPr/>
      </w:pPr>
      <w:r>
        <w:rPr>
          <w:sz w:val="24"/>
          <w:szCs w:val="24"/>
        </w:rPr>
        <w:t>счета клиентов в драгоценных металлах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0" w:leader="none"/>
        </w:tabs>
        <w:ind w:left="0" w:firstLine="360"/>
        <w:jc w:val="both"/>
        <w:rPr/>
      </w:pPr>
      <w:r>
        <w:rPr>
          <w:sz w:val="24"/>
          <w:szCs w:val="24"/>
        </w:rPr>
        <w:t>расходы по операциям с ценными бумагами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0" w:leader="none"/>
        </w:tabs>
        <w:ind w:left="0" w:firstLine="360"/>
        <w:jc w:val="both"/>
        <w:rPr/>
      </w:pPr>
      <w:r>
        <w:rPr>
          <w:sz w:val="24"/>
          <w:szCs w:val="24"/>
        </w:rPr>
        <w:t>привлеченные средства юридических лиц-нерезидентов на срок свыше 3 лет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0" w:leader="none"/>
        </w:tabs>
        <w:ind w:left="0" w:firstLine="360"/>
        <w:jc w:val="both"/>
        <w:rPr/>
      </w:pPr>
      <w:r>
        <w:rPr>
          <w:sz w:val="24"/>
          <w:szCs w:val="24"/>
        </w:rPr>
        <w:t>кредиты, полученные от банков-нерезидентов на срок от 2 до 7 дней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0" w:leader="none"/>
        </w:tabs>
        <w:ind w:left="0" w:firstLine="360"/>
        <w:jc w:val="both"/>
        <w:rPr/>
      </w:pPr>
      <w:r>
        <w:rPr>
          <w:sz w:val="24"/>
          <w:szCs w:val="24"/>
        </w:rPr>
        <w:t>просроченная задолженность по предоставленным межбанковским кредитам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0" w:leader="none"/>
        </w:tabs>
        <w:ind w:left="0" w:firstLine="360"/>
        <w:jc w:val="both"/>
        <w:rPr/>
      </w:pPr>
      <w:r>
        <w:rPr>
          <w:sz w:val="24"/>
          <w:szCs w:val="24"/>
        </w:rPr>
        <w:t>средства в расчетах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0" w:leader="none"/>
        </w:tabs>
        <w:ind w:left="0" w:firstLine="360"/>
        <w:jc w:val="both"/>
        <w:rPr/>
      </w:pPr>
      <w:r>
        <w:rPr>
          <w:sz w:val="24"/>
          <w:szCs w:val="24"/>
        </w:rPr>
        <w:t>средства местных бюджетов, выделенные негосударственным предприятиям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0" w:leader="none"/>
        </w:tabs>
        <w:ind w:left="0" w:firstLine="360"/>
        <w:jc w:val="both"/>
        <w:rPr/>
      </w:pPr>
      <w:r>
        <w:rPr>
          <w:sz w:val="24"/>
          <w:szCs w:val="24"/>
        </w:rPr>
        <w:t>собственные доли уставного капитала, выкупленные банком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0" w:leader="none"/>
        </w:tabs>
        <w:ind w:left="0" w:firstLine="360"/>
        <w:jc w:val="both"/>
        <w:rPr/>
      </w:pPr>
      <w:r>
        <w:rPr>
          <w:sz w:val="24"/>
          <w:szCs w:val="24"/>
        </w:rPr>
        <w:t>бланки строгой отчетности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0" w:leader="none"/>
        </w:tabs>
        <w:ind w:left="0" w:firstLine="360"/>
        <w:jc w:val="both"/>
        <w:rPr/>
      </w:pPr>
      <w:r>
        <w:rPr>
          <w:sz w:val="24"/>
          <w:szCs w:val="24"/>
        </w:rPr>
        <w:t>начисленные проценты по вкладам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0" w:leader="none"/>
        </w:tabs>
        <w:ind w:left="0" w:firstLine="360"/>
        <w:jc w:val="both"/>
        <w:rPr/>
      </w:pPr>
      <w:r>
        <w:rPr>
          <w:sz w:val="24"/>
          <w:szCs w:val="24"/>
        </w:rPr>
        <w:t>налог на добавленную стоимость по приобретенным материальным ценностям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0" w:leader="none"/>
        </w:tabs>
        <w:ind w:left="0" w:firstLine="360"/>
        <w:jc w:val="both"/>
        <w:rPr/>
      </w:pPr>
      <w:r>
        <w:rPr>
          <w:sz w:val="24"/>
          <w:szCs w:val="24"/>
        </w:rPr>
        <w:t>аккредитивы к оплате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0" w:leader="none"/>
        </w:tabs>
        <w:ind w:left="0" w:firstLine="360"/>
        <w:jc w:val="both"/>
        <w:rPr/>
      </w:pPr>
      <w:r>
        <w:rPr>
          <w:sz w:val="24"/>
          <w:szCs w:val="24"/>
        </w:rPr>
        <w:t>природные драгоценные камни в пути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0" w:leader="none"/>
        </w:tabs>
        <w:ind w:left="0" w:firstLine="360"/>
        <w:jc w:val="both"/>
        <w:rPr/>
      </w:pPr>
      <w:r>
        <w:rPr>
          <w:sz w:val="24"/>
          <w:szCs w:val="24"/>
        </w:rPr>
        <w:t>требования по выкупу ценных бумаг по обратной части операций РЕПО со сроком исполнения на следующий день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0" w:leader="none"/>
        </w:tabs>
        <w:ind w:left="0" w:firstLine="360"/>
        <w:jc w:val="both"/>
        <w:rPr/>
      </w:pPr>
      <w:r>
        <w:rPr>
          <w:sz w:val="24"/>
          <w:szCs w:val="24"/>
        </w:rPr>
        <w:t>депозиты, размещенные в Банке России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0" w:leader="none"/>
        </w:tabs>
        <w:ind w:left="0" w:firstLine="360"/>
        <w:jc w:val="both"/>
        <w:rPr/>
      </w:pPr>
      <w:r>
        <w:rPr>
          <w:sz w:val="24"/>
          <w:szCs w:val="24"/>
        </w:rPr>
        <w:t>счета негосударственных финансовых организаций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0" w:leader="none"/>
        </w:tabs>
        <w:ind w:left="0" w:firstLine="360"/>
        <w:jc w:val="both"/>
        <w:rPr/>
      </w:pPr>
      <w:r>
        <w:rPr>
          <w:sz w:val="24"/>
          <w:szCs w:val="24"/>
        </w:rPr>
        <w:t>депозиты негосударственных финансовых организаций для расчетов с использованием пластиковых карт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0" w:leader="none"/>
        </w:tabs>
        <w:ind w:left="0" w:firstLine="360"/>
        <w:jc w:val="both"/>
        <w:rPr/>
      </w:pPr>
      <w:r>
        <w:rPr>
          <w:sz w:val="24"/>
          <w:szCs w:val="24"/>
        </w:rPr>
        <w:t>расчеты с филиалами, расположенными за границей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0" w:leader="none"/>
        </w:tabs>
        <w:ind w:left="0" w:firstLine="360"/>
        <w:jc w:val="both"/>
        <w:rPr/>
      </w:pPr>
      <w:r>
        <w:rPr>
          <w:sz w:val="24"/>
          <w:szCs w:val="24"/>
        </w:rPr>
        <w:t>депозиты физических лиц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0" w:leader="none"/>
        </w:tabs>
        <w:ind w:left="0" w:firstLine="360"/>
        <w:jc w:val="both"/>
        <w:rPr/>
      </w:pPr>
      <w:r>
        <w:rPr>
          <w:sz w:val="24"/>
          <w:szCs w:val="24"/>
        </w:rPr>
        <w:t>требования по выкупу ценных бумаг по обратной части операций РЕПО со сроком исполнения на следующий день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0" w:leader="none"/>
        </w:tabs>
        <w:ind w:left="0" w:firstLine="360"/>
        <w:jc w:val="both"/>
        <w:rPr/>
      </w:pPr>
      <w:r>
        <w:rPr>
          <w:sz w:val="24"/>
          <w:szCs w:val="24"/>
        </w:rPr>
        <w:t>проценты за кредит, не уплаченные в срок гражданами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0" w:leader="none"/>
        </w:tabs>
        <w:ind w:left="0" w:firstLine="360"/>
        <w:jc w:val="both"/>
        <w:rPr/>
      </w:pPr>
      <w:r>
        <w:rPr>
          <w:sz w:val="24"/>
          <w:szCs w:val="24"/>
        </w:rPr>
        <w:t>долговые обязательства банков – нерезидентов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0" w:leader="none"/>
        </w:tabs>
        <w:ind w:left="0" w:firstLine="360"/>
        <w:jc w:val="both"/>
        <w:rPr/>
      </w:pPr>
      <w:r>
        <w:rPr>
          <w:sz w:val="24"/>
          <w:szCs w:val="24"/>
        </w:rPr>
        <w:t>акции банков-нерезидентов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0" w:leader="none"/>
        </w:tabs>
        <w:ind w:left="0" w:firstLine="360"/>
        <w:jc w:val="both"/>
        <w:rPr/>
      </w:pPr>
      <w:r>
        <w:rPr>
          <w:sz w:val="24"/>
          <w:szCs w:val="24"/>
        </w:rPr>
        <w:t>расчеты по обязательным резервам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0" w:leader="none"/>
        </w:tabs>
        <w:ind w:left="0" w:firstLine="360"/>
        <w:jc w:val="both"/>
        <w:rPr/>
      </w:pPr>
      <w:r>
        <w:rPr>
          <w:sz w:val="24"/>
          <w:szCs w:val="24"/>
        </w:rPr>
        <w:t>расчеты с Министерством финансов по ценным бумагам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0" w:leader="none"/>
        </w:tabs>
        <w:ind w:left="0" w:firstLine="360"/>
        <w:jc w:val="both"/>
        <w:rPr/>
      </w:pPr>
      <w:r>
        <w:rPr>
          <w:sz w:val="24"/>
          <w:szCs w:val="24"/>
        </w:rPr>
        <w:t>лизинговые операции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0" w:leader="none"/>
        </w:tabs>
        <w:ind w:left="0" w:firstLine="360"/>
        <w:jc w:val="both"/>
        <w:rPr/>
      </w:pPr>
      <w:r>
        <w:rPr>
          <w:sz w:val="24"/>
          <w:szCs w:val="24"/>
        </w:rPr>
        <w:t>переоценка средств в иностранной валюте – положительные разницы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0" w:leader="none"/>
        </w:tabs>
        <w:ind w:left="0" w:firstLine="360"/>
        <w:jc w:val="both"/>
        <w:rPr/>
      </w:pPr>
      <w:r>
        <w:rPr>
          <w:sz w:val="24"/>
          <w:szCs w:val="24"/>
        </w:rPr>
        <w:t>текущие счета (в доверительном управлении)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0" w:leader="none"/>
        </w:tabs>
        <w:ind w:left="0" w:firstLine="360"/>
        <w:jc w:val="both"/>
        <w:rPr/>
      </w:pPr>
      <w:r>
        <w:rPr>
          <w:sz w:val="24"/>
          <w:szCs w:val="24"/>
        </w:rPr>
        <w:t>неразмещенные ценные бумаги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0" w:leader="none"/>
        </w:tabs>
        <w:ind w:left="0" w:firstLine="360"/>
        <w:jc w:val="both"/>
        <w:rPr/>
      </w:pPr>
      <w:r>
        <w:rPr>
          <w:sz w:val="24"/>
          <w:szCs w:val="24"/>
        </w:rPr>
        <w:t>арендованные основные средства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0" w:leader="none"/>
        </w:tabs>
        <w:ind w:left="0" w:firstLine="360"/>
        <w:jc w:val="both"/>
        <w:rPr/>
      </w:pPr>
      <w:r>
        <w:rPr>
          <w:sz w:val="24"/>
          <w:szCs w:val="24"/>
        </w:rPr>
        <w:t>корреспондентские счета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0" w:leader="none"/>
        </w:tabs>
        <w:ind w:left="0" w:firstLine="360"/>
        <w:jc w:val="both"/>
        <w:rPr/>
      </w:pPr>
      <w:r>
        <w:rPr>
          <w:sz w:val="24"/>
          <w:szCs w:val="24"/>
        </w:rPr>
        <w:t>ценные бумаги на хранении в депозитарии</w:t>
      </w:r>
    </w:p>
    <w:p>
      <w:pPr>
        <w:pStyle w:val="Normal"/>
        <w:tabs>
          <w:tab w:val="clear" w:pos="708"/>
          <w:tab w:val="left" w:pos="993" w:leader="none"/>
        </w:tabs>
        <w:ind w:firstLine="567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tabs>
          <w:tab w:val="clear" w:pos="708"/>
          <w:tab w:val="left" w:pos="284" w:leader="none"/>
          <w:tab w:val="left" w:pos="993" w:leader="none"/>
        </w:tabs>
        <w:jc w:val="center"/>
        <w:rPr/>
      </w:pPr>
      <w:r>
        <w:rPr>
          <w:i/>
          <w:sz w:val="24"/>
          <w:szCs w:val="24"/>
          <w:lang w:eastAsia="ru-RU"/>
        </w:rPr>
        <w:t xml:space="preserve">Требования к оформлению отчета по самостоятельной работе </w:t>
      </w:r>
    </w:p>
    <w:p>
      <w:pPr>
        <w:pStyle w:val="Normal"/>
        <w:tabs>
          <w:tab w:val="clear" w:pos="708"/>
          <w:tab w:val="left" w:pos="284" w:leader="none"/>
          <w:tab w:val="left" w:pos="993" w:leader="none"/>
        </w:tabs>
        <w:ind w:firstLine="567"/>
        <w:jc w:val="both"/>
        <w:rPr/>
      </w:pPr>
      <w:r>
        <w:rPr>
          <w:sz w:val="24"/>
          <w:szCs w:val="24"/>
          <w:lang w:eastAsia="ru-RU"/>
        </w:rPr>
        <w:t xml:space="preserve">Текст должен быть набран в редакторе Microsoft Word версий  97-2007 и позднее и распечатан на компьютере на одной стороне стандартного листа белой бумаги форматом А4 (210 на 297мм). </w:t>
      </w:r>
    </w:p>
    <w:p>
      <w:pPr>
        <w:pStyle w:val="Normal"/>
        <w:tabs>
          <w:tab w:val="clear" w:pos="708"/>
          <w:tab w:val="left" w:pos="284" w:leader="none"/>
          <w:tab w:val="left" w:pos="993" w:leader="none"/>
        </w:tabs>
        <w:ind w:firstLine="567"/>
        <w:jc w:val="both"/>
        <w:rPr/>
      </w:pPr>
      <w:r>
        <w:rPr>
          <w:sz w:val="24"/>
          <w:szCs w:val="24"/>
          <w:lang w:eastAsia="ru-RU"/>
        </w:rPr>
        <w:t xml:space="preserve">Основной текст: шрифт Times New Roman - 14, без переноса слов, междустрочный интер-вал полуторный, выравнивание по ширине. </w:t>
      </w:r>
    </w:p>
    <w:p>
      <w:pPr>
        <w:pStyle w:val="Normal"/>
        <w:tabs>
          <w:tab w:val="clear" w:pos="708"/>
          <w:tab w:val="left" w:pos="284" w:leader="none"/>
          <w:tab w:val="left" w:pos="993" w:leader="none"/>
        </w:tabs>
        <w:ind w:firstLine="567"/>
        <w:jc w:val="both"/>
        <w:rPr/>
      </w:pPr>
      <w:r>
        <w:rPr>
          <w:sz w:val="24"/>
          <w:szCs w:val="24"/>
          <w:lang w:eastAsia="ru-RU"/>
        </w:rPr>
        <w:t xml:space="preserve">Поля: слева - 3 см, сверху – 2 см, справа - 2 см, внизу - 2 см, абзацный отступ – 1,25 см. </w:t>
      </w:r>
    </w:p>
    <w:p>
      <w:pPr>
        <w:pStyle w:val="Normal"/>
        <w:ind w:firstLine="567"/>
        <w:jc w:val="both"/>
        <w:rPr/>
      </w:pPr>
      <w:r>
        <w:rPr>
          <w:color w:val="000000"/>
          <w:sz w:val="24"/>
          <w:szCs w:val="24"/>
        </w:rPr>
        <w:t>Титульный лист приведен в приложении.</w:t>
      </w:r>
    </w:p>
    <w:p>
      <w:pPr>
        <w:pStyle w:val="Normal"/>
        <w:ind w:firstLine="567"/>
        <w:jc w:val="both"/>
        <w:rPr>
          <w:b/>
          <w:b/>
          <w:color w:val="000000"/>
          <w:sz w:val="24"/>
          <w:szCs w:val="24"/>
          <w:u w:val="single"/>
        </w:rPr>
      </w:pPr>
      <w:r>
        <w:rPr>
          <w:b/>
          <w:color w:val="000000"/>
          <w:sz w:val="24"/>
          <w:szCs w:val="24"/>
          <w:u w:val="single"/>
        </w:rPr>
      </w:r>
    </w:p>
    <w:p>
      <w:pPr>
        <w:pStyle w:val="Normal"/>
        <w:tabs>
          <w:tab w:val="clear" w:pos="708"/>
          <w:tab w:val="left" w:pos="993" w:leader="none"/>
        </w:tabs>
        <w:ind w:firstLine="567"/>
        <w:jc w:val="both"/>
        <w:rPr/>
      </w:pPr>
      <w:r>
        <w:rPr>
          <w:b/>
          <w:i/>
          <w:color w:val="000000"/>
          <w:sz w:val="24"/>
          <w:szCs w:val="24"/>
        </w:rPr>
        <w:t>Критерии оценивания внеаудиторной самостоятельной работы по МДК 02.02 Учет кредитных операций</w:t>
      </w:r>
    </w:p>
    <w:p>
      <w:pPr>
        <w:pStyle w:val="Normal"/>
        <w:tabs>
          <w:tab w:val="clear" w:pos="708"/>
          <w:tab w:val="left" w:pos="993" w:leader="none"/>
        </w:tabs>
        <w:ind w:firstLine="567"/>
        <w:jc w:val="both"/>
        <w:rPr>
          <w:b/>
          <w:b/>
          <w:i/>
          <w:i/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</w:r>
    </w:p>
    <w:tbl>
      <w:tblPr>
        <w:tblW w:w="9332" w:type="dxa"/>
        <w:jc w:val="left"/>
        <w:tblInd w:w="27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32"/>
        <w:gridCol w:w="1984"/>
        <w:gridCol w:w="1"/>
        <w:gridCol w:w="6815"/>
      </w:tblGrid>
      <w:tr>
        <w:trPr/>
        <w:tc>
          <w:tcPr>
            <w:tcW w:w="25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851" w:leader="none"/>
                <w:tab w:val="left" w:pos="993" w:leader="none"/>
              </w:tabs>
              <w:spacing w:before="0" w:after="0"/>
              <w:contextualSpacing/>
              <w:jc w:val="center"/>
              <w:rPr/>
            </w:pPr>
            <w:r>
              <w:rPr>
                <w:sz w:val="24"/>
                <w:szCs w:val="24"/>
              </w:rPr>
              <w:t>Оценка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851" w:leader="none"/>
                <w:tab w:val="left" w:pos="993" w:leader="none"/>
              </w:tabs>
              <w:spacing w:before="0" w:after="0"/>
              <w:contextualSpacing/>
              <w:jc w:val="center"/>
              <w:rPr/>
            </w:pPr>
            <w:r>
              <w:rPr>
                <w:sz w:val="24"/>
                <w:szCs w:val="24"/>
              </w:rPr>
              <w:t>Характеристика критерия</w:t>
            </w:r>
          </w:p>
        </w:tc>
      </w:tr>
      <w:tr>
        <w:trPr/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851" w:leader="none"/>
                <w:tab w:val="left" w:pos="993" w:leader="none"/>
              </w:tabs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851" w:leader="none"/>
                <w:tab w:val="left" w:pos="993" w:leader="none"/>
              </w:tabs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>«отлично»</w:t>
            </w:r>
          </w:p>
        </w:tc>
        <w:tc>
          <w:tcPr>
            <w:tcW w:w="6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851" w:leader="none"/>
                <w:tab w:val="left" w:pos="993" w:leader="none"/>
              </w:tabs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>Оформление соответствует требованиям. Задача решена  полностью, логично, с пояснениями.</w:t>
            </w:r>
          </w:p>
        </w:tc>
      </w:tr>
      <w:tr>
        <w:trPr/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851" w:leader="none"/>
                <w:tab w:val="left" w:pos="993" w:leader="none"/>
              </w:tabs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851" w:leader="none"/>
                <w:tab w:val="left" w:pos="993" w:leader="none"/>
              </w:tabs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>«хорошо»</w:t>
            </w:r>
          </w:p>
        </w:tc>
        <w:tc>
          <w:tcPr>
            <w:tcW w:w="6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851" w:leader="none"/>
                <w:tab w:val="left" w:pos="993" w:leader="none"/>
              </w:tabs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 xml:space="preserve">Оформление частично соответствует требованиям. Задача решена не полностью. </w:t>
            </w:r>
          </w:p>
        </w:tc>
      </w:tr>
      <w:tr>
        <w:trPr/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851" w:leader="none"/>
                <w:tab w:val="left" w:pos="993" w:leader="none"/>
              </w:tabs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851" w:leader="none"/>
                <w:tab w:val="left" w:pos="993" w:leader="none"/>
              </w:tabs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>«удовлетворительно»</w:t>
            </w:r>
          </w:p>
        </w:tc>
        <w:tc>
          <w:tcPr>
            <w:tcW w:w="6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851" w:leader="none"/>
                <w:tab w:val="left" w:pos="993" w:leader="none"/>
              </w:tabs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 xml:space="preserve">Оформление не соответствует требованиям. Дано краткое изложение решения задачи, упущены существенные этапы решения </w:t>
            </w:r>
          </w:p>
        </w:tc>
      </w:tr>
    </w:tbl>
    <w:p>
      <w:pPr>
        <w:pStyle w:val="Normal"/>
        <w:tabs>
          <w:tab w:val="clear" w:pos="708"/>
          <w:tab w:val="left" w:pos="993" w:leader="none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ind w:left="720" w:hanging="0"/>
        <w:jc w:val="center"/>
        <w:rPr/>
      </w:pPr>
      <w:r>
        <w:rPr/>
      </w:r>
    </w:p>
    <w:sectPr>
      <w:footerReference w:type="default" r:id="rId4"/>
      <w:type w:val="nextPage"/>
      <w:pgSz w:w="11906" w:h="16838"/>
      <w:pgMar w:left="1020" w:right="567" w:header="0" w:top="1134" w:footer="708" w:bottom="1134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Symbol">
    <w:charset w:val="cc"/>
    <w:family w:val="roman"/>
    <w:pitch w:val="variable"/>
  </w:font>
  <w:font w:name="Courier New">
    <w:charset w:val="cc"/>
    <w:family w:val="roman"/>
    <w:pitch w:val="variable"/>
  </w:font>
  <w:font w:name="Wingdings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10</w:t>
    </w:r>
    <w:r>
      <w:rPr/>
      <w:fldChar w:fldCharType="end"/>
    </w:r>
  </w:p>
  <w:p>
    <w:pPr>
      <w:pStyle w:val="Style23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ind w:left="786" w:hanging="360"/>
      </w:pPr>
      <w:rPr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decimal"/>
      <w:lvlText w:val="%1."/>
      <w:lvlJc w:val="left"/>
      <w:pPr>
        <w:ind w:left="1145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sz w:val="24"/>
        <w:b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5"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6">
    <w:lvl w:ilvl="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4"/>
        <w:szCs w:val="24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7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SimSun" w:cs="Mangal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link w:val="656"/>
    <w:qFormat/>
    <w:pPr>
      <w:widowControl/>
      <w:bidi w:val="0"/>
      <w:jc w:val="left"/>
    </w:pPr>
    <w:rPr>
      <w:rFonts w:ascii="Calibri" w:hAnsi="Calibri" w:eastAsia="NSimSun" w:cs="Mangal"/>
      <w:color w:val="auto"/>
      <w:kern w:val="0"/>
      <w:sz w:val="20"/>
      <w:szCs w:val="20"/>
      <w:lang w:val="ru-RU" w:eastAsia="zh-CN" w:bidi="ar-SA"/>
    </w:rPr>
  </w:style>
  <w:style w:type="paragraph" w:styleId="1">
    <w:name w:val="Heading 1"/>
    <w:basedOn w:val="Normal"/>
    <w:link w:val="656"/>
    <w:qFormat/>
    <w:pPr>
      <w:keepNext w:val="true"/>
      <w:keepLines/>
      <w:spacing w:before="480" w:after="0"/>
      <w:outlineLvl w:val="0"/>
    </w:pPr>
    <w:rPr>
      <w:rFonts w:ascii="Cambria" w:hAnsi="Cambria" w:eastAsia="Times New Roman" w:cs="Times New Roman"/>
      <w:b/>
      <w:bCs/>
      <w:color w:val="365F91"/>
      <w:sz w:val="28"/>
      <w:szCs w:val="28"/>
    </w:rPr>
  </w:style>
  <w:style w:type="paragraph" w:styleId="2">
    <w:name w:val="Heading 2"/>
    <w:basedOn w:val="Normal"/>
    <w:link w:val="656"/>
    <w:qFormat/>
    <w:pPr>
      <w:keepNext w:val="true"/>
      <w:spacing w:before="240" w:after="60"/>
      <w:outlineLvl w:val="1"/>
    </w:pPr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3">
    <w:name w:val="Heading 3"/>
    <w:basedOn w:val="Normal"/>
    <w:link w:val="18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link w:val="20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link w:val="22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link w:val="24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link w:val="26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link w:val="28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link w:val="30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link w:val="13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link w:val="15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link w:val="17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link w:val="19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link w:val="21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link w:val="23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link w:val="25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link w:val="27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link w:val="29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link w:val="34"/>
    <w:uiPriority w:val="10"/>
    <w:qFormat/>
    <w:rPr>
      <w:sz w:val="48"/>
      <w:szCs w:val="48"/>
    </w:rPr>
  </w:style>
  <w:style w:type="character" w:styleId="SubtitleChar">
    <w:name w:val="Subtitle Char"/>
    <w:link w:val="36"/>
    <w:uiPriority w:val="11"/>
    <w:qFormat/>
    <w:rPr>
      <w:sz w:val="24"/>
      <w:szCs w:val="24"/>
    </w:rPr>
  </w:style>
  <w:style w:type="character" w:styleId="QuoteChar">
    <w:name w:val="Quote Char"/>
    <w:link w:val="38"/>
    <w:uiPriority w:val="29"/>
    <w:qFormat/>
    <w:rPr>
      <w:i/>
    </w:rPr>
  </w:style>
  <w:style w:type="character" w:styleId="IntenseQuoteChar">
    <w:name w:val="Intense Quote Char"/>
    <w:link w:val="40"/>
    <w:uiPriority w:val="30"/>
    <w:qFormat/>
    <w:rPr>
      <w:i/>
    </w:rPr>
  </w:style>
  <w:style w:type="character" w:styleId="HeaderChar">
    <w:name w:val="Header Char"/>
    <w:link w:val="42"/>
    <w:uiPriority w:val="99"/>
    <w:qFormat/>
    <w:rPr/>
  </w:style>
  <w:style w:type="character" w:styleId="FooterChar">
    <w:name w:val="Footer Char"/>
    <w:link w:val="44"/>
    <w:uiPriority w:val="99"/>
    <w:qFormat/>
    <w:rPr/>
  </w:style>
  <w:style w:type="character" w:styleId="CaptionChar">
    <w:name w:val="Caption Char"/>
    <w:link w:val="44"/>
    <w:uiPriority w:val="99"/>
    <w:qFormat/>
    <w:rPr/>
  </w:style>
  <w:style w:type="character" w:styleId="Style5">
    <w:name w:val="Интернет-ссылка"/>
    <w:uiPriority w:val="99"/>
    <w:unhideWhenUsed/>
    <w:rPr>
      <w:color w:val="0000FF" w:themeColor="hyperlink"/>
      <w:u w:val="single"/>
    </w:rPr>
  </w:style>
  <w:style w:type="character" w:styleId="FootnoteTextChar">
    <w:name w:val="Footnote Text Char"/>
    <w:link w:val="175"/>
    <w:uiPriority w:val="99"/>
    <w:qFormat/>
    <w:rPr>
      <w:sz w:val="18"/>
    </w:rPr>
  </w:style>
  <w:style w:type="character" w:styleId="Style6">
    <w:name w:val="Привязка сноски"/>
    <w:rPr>
      <w:vertAlign w:val="superscript"/>
    </w:rPr>
  </w:style>
  <w:style w:type="character" w:styleId="FootnoteCharacters">
    <w:name w:val="Footnote Characters"/>
    <w:uiPriority w:val="99"/>
    <w:unhideWhenUsed/>
    <w:qFormat/>
    <w:rPr>
      <w:vertAlign w:val="superscript"/>
    </w:rPr>
  </w:style>
  <w:style w:type="character" w:styleId="EndnoteTextChar">
    <w:name w:val="Endnote Text Char"/>
    <w:link w:val="178"/>
    <w:uiPriority w:val="99"/>
    <w:qFormat/>
    <w:rPr>
      <w:sz w:val="20"/>
    </w:rPr>
  </w:style>
  <w:style w:type="character" w:styleId="Style7">
    <w:name w:val="Привязка концевой сноски"/>
    <w:rPr>
      <w:vertAlign w:val="superscript"/>
    </w:rPr>
  </w:style>
  <w:style w:type="character" w:styleId="EndnoteCharacters">
    <w:name w:val="Endnote Characters"/>
    <w:uiPriority w:val="99"/>
    <w:semiHidden/>
    <w:unhideWhenUsed/>
    <w:qFormat/>
    <w:rPr>
      <w:vertAlign w:val="superscript"/>
    </w:rPr>
  </w:style>
  <w:style w:type="character" w:styleId="Style8">
    <w:name w:val="Основной шрифт абзаца"/>
    <w:link w:val="656"/>
    <w:uiPriority w:val="1"/>
    <w:semiHidden/>
    <w:unhideWhenUsed/>
    <w:qFormat/>
    <w:rPr/>
  </w:style>
  <w:style w:type="character" w:styleId="WW8Num1z0">
    <w:name w:val="WW8Num1z0"/>
    <w:link w:val="656"/>
    <w:qFormat/>
    <w:rPr/>
  </w:style>
  <w:style w:type="character" w:styleId="WW8Num1z1">
    <w:name w:val="WW8Num1z1"/>
    <w:link w:val="656"/>
    <w:qFormat/>
    <w:rPr/>
  </w:style>
  <w:style w:type="character" w:styleId="WW8Num1z2">
    <w:name w:val="WW8Num1z2"/>
    <w:link w:val="656"/>
    <w:qFormat/>
    <w:rPr/>
  </w:style>
  <w:style w:type="character" w:styleId="WW8Num1z3">
    <w:name w:val="WW8Num1z3"/>
    <w:link w:val="656"/>
    <w:qFormat/>
    <w:rPr/>
  </w:style>
  <w:style w:type="character" w:styleId="WW8Num1z4">
    <w:name w:val="WW8Num1z4"/>
    <w:link w:val="656"/>
    <w:qFormat/>
    <w:rPr/>
  </w:style>
  <w:style w:type="character" w:styleId="WW8Num1z5">
    <w:name w:val="WW8Num1z5"/>
    <w:link w:val="656"/>
    <w:qFormat/>
    <w:rPr/>
  </w:style>
  <w:style w:type="character" w:styleId="WW8Num1z6">
    <w:name w:val="WW8Num1z6"/>
    <w:link w:val="656"/>
    <w:qFormat/>
    <w:rPr/>
  </w:style>
  <w:style w:type="character" w:styleId="WW8Num1z7">
    <w:name w:val="WW8Num1z7"/>
    <w:link w:val="656"/>
    <w:qFormat/>
    <w:rPr/>
  </w:style>
  <w:style w:type="character" w:styleId="WW8Num1z8">
    <w:name w:val="WW8Num1z8"/>
    <w:link w:val="656"/>
    <w:qFormat/>
    <w:rPr/>
  </w:style>
  <w:style w:type="character" w:styleId="WW8Num2z0">
    <w:name w:val="WW8Num2z0"/>
    <w:link w:val="656"/>
    <w:qFormat/>
    <w:rPr>
      <w:rFonts w:ascii="Times New Roman" w:hAnsi="Times New Roman" w:cs="Times New Roman"/>
      <w:sz w:val="28"/>
      <w:szCs w:val="28"/>
      <w:lang w:val="ru-RU"/>
    </w:rPr>
  </w:style>
  <w:style w:type="character" w:styleId="WW8Num3z0">
    <w:name w:val="WW8Num3z0"/>
    <w:link w:val="656"/>
    <w:qFormat/>
    <w:rPr>
      <w:sz w:val="24"/>
      <w:szCs w:val="24"/>
    </w:rPr>
  </w:style>
  <w:style w:type="character" w:styleId="WW8Num4z0">
    <w:name w:val="WW8Num4z0"/>
    <w:link w:val="656"/>
    <w:qFormat/>
    <w:rPr>
      <w:rFonts w:ascii="Times New Roman" w:hAnsi="Times New Roman" w:cs="Times New Roman"/>
    </w:rPr>
  </w:style>
  <w:style w:type="character" w:styleId="WW8Num4z1">
    <w:name w:val="WW8Num4z1"/>
    <w:link w:val="656"/>
    <w:qFormat/>
    <w:rPr/>
  </w:style>
  <w:style w:type="character" w:styleId="WW8Num4z2">
    <w:name w:val="WW8Num4z2"/>
    <w:link w:val="656"/>
    <w:qFormat/>
    <w:rPr/>
  </w:style>
  <w:style w:type="character" w:styleId="WW8Num4z3">
    <w:name w:val="WW8Num4z3"/>
    <w:link w:val="656"/>
    <w:qFormat/>
    <w:rPr/>
  </w:style>
  <w:style w:type="character" w:styleId="WW8Num4z4">
    <w:name w:val="WW8Num4z4"/>
    <w:link w:val="656"/>
    <w:qFormat/>
    <w:rPr/>
  </w:style>
  <w:style w:type="character" w:styleId="WW8Num4z5">
    <w:name w:val="WW8Num4z5"/>
    <w:link w:val="656"/>
    <w:qFormat/>
    <w:rPr/>
  </w:style>
  <w:style w:type="character" w:styleId="WW8Num4z6">
    <w:name w:val="WW8Num4z6"/>
    <w:link w:val="656"/>
    <w:qFormat/>
    <w:rPr/>
  </w:style>
  <w:style w:type="character" w:styleId="WW8Num4z7">
    <w:name w:val="WW8Num4z7"/>
    <w:link w:val="656"/>
    <w:qFormat/>
    <w:rPr/>
  </w:style>
  <w:style w:type="character" w:styleId="WW8Num4z8">
    <w:name w:val="WW8Num4z8"/>
    <w:link w:val="656"/>
    <w:qFormat/>
    <w:rPr/>
  </w:style>
  <w:style w:type="character" w:styleId="WW8Num5z0">
    <w:name w:val="WW8Num5z0"/>
    <w:link w:val="656"/>
    <w:qFormat/>
    <w:rPr>
      <w:rFonts w:ascii="Symbol" w:hAnsi="Symbol" w:cs="Symbol"/>
      <w:sz w:val="24"/>
      <w:szCs w:val="24"/>
    </w:rPr>
  </w:style>
  <w:style w:type="character" w:styleId="WW8Num5z1">
    <w:name w:val="WW8Num5z1"/>
    <w:link w:val="656"/>
    <w:qFormat/>
    <w:rPr/>
  </w:style>
  <w:style w:type="character" w:styleId="WW8Num5z2">
    <w:name w:val="WW8Num5z2"/>
    <w:link w:val="656"/>
    <w:qFormat/>
    <w:rPr/>
  </w:style>
  <w:style w:type="character" w:styleId="WW8Num5z3">
    <w:name w:val="WW8Num5z3"/>
    <w:link w:val="656"/>
    <w:qFormat/>
    <w:rPr/>
  </w:style>
  <w:style w:type="character" w:styleId="WW8Num5z4">
    <w:name w:val="WW8Num5z4"/>
    <w:link w:val="656"/>
    <w:qFormat/>
    <w:rPr/>
  </w:style>
  <w:style w:type="character" w:styleId="WW8Num5z5">
    <w:name w:val="WW8Num5z5"/>
    <w:link w:val="656"/>
    <w:qFormat/>
    <w:rPr/>
  </w:style>
  <w:style w:type="character" w:styleId="WW8Num5z6">
    <w:name w:val="WW8Num5z6"/>
    <w:link w:val="656"/>
    <w:qFormat/>
    <w:rPr/>
  </w:style>
  <w:style w:type="character" w:styleId="WW8Num5z7">
    <w:name w:val="WW8Num5z7"/>
    <w:link w:val="656"/>
    <w:qFormat/>
    <w:rPr/>
  </w:style>
  <w:style w:type="character" w:styleId="WW8Num5z8">
    <w:name w:val="WW8Num5z8"/>
    <w:link w:val="656"/>
    <w:qFormat/>
    <w:rPr/>
  </w:style>
  <w:style w:type="character" w:styleId="WW8Num6z0">
    <w:name w:val="WW8Num6z0"/>
    <w:link w:val="656"/>
    <w:qFormat/>
    <w:rPr>
      <w:rFonts w:ascii="Symbol" w:hAnsi="Symbol" w:cs="Symbol"/>
      <w:sz w:val="24"/>
      <w:szCs w:val="24"/>
    </w:rPr>
  </w:style>
  <w:style w:type="character" w:styleId="WW8Num6z1">
    <w:name w:val="WW8Num6z1"/>
    <w:link w:val="656"/>
    <w:qFormat/>
    <w:rPr/>
  </w:style>
  <w:style w:type="character" w:styleId="WW8Num6z2">
    <w:name w:val="WW8Num6z2"/>
    <w:link w:val="656"/>
    <w:qFormat/>
    <w:rPr/>
  </w:style>
  <w:style w:type="character" w:styleId="WW8Num6z3">
    <w:name w:val="WW8Num6z3"/>
    <w:link w:val="656"/>
    <w:qFormat/>
    <w:rPr/>
  </w:style>
  <w:style w:type="character" w:styleId="WW8Num6z4">
    <w:name w:val="WW8Num6z4"/>
    <w:link w:val="656"/>
    <w:qFormat/>
    <w:rPr/>
  </w:style>
  <w:style w:type="character" w:styleId="WW8Num6z5">
    <w:name w:val="WW8Num6z5"/>
    <w:link w:val="656"/>
    <w:qFormat/>
    <w:rPr/>
  </w:style>
  <w:style w:type="character" w:styleId="WW8Num6z6">
    <w:name w:val="WW8Num6z6"/>
    <w:link w:val="656"/>
    <w:qFormat/>
    <w:rPr/>
  </w:style>
  <w:style w:type="character" w:styleId="WW8Num6z7">
    <w:name w:val="WW8Num6z7"/>
    <w:link w:val="656"/>
    <w:qFormat/>
    <w:rPr/>
  </w:style>
  <w:style w:type="character" w:styleId="WW8Num6z8">
    <w:name w:val="WW8Num6z8"/>
    <w:link w:val="656"/>
    <w:qFormat/>
    <w:rPr/>
  </w:style>
  <w:style w:type="character" w:styleId="WW8Num7z0">
    <w:name w:val="WW8Num7z0"/>
    <w:link w:val="656"/>
    <w:qFormat/>
    <w:rPr>
      <w:rFonts w:ascii="Times New Roman" w:hAnsi="Times New Roman" w:cs="Times New Roman"/>
    </w:rPr>
  </w:style>
  <w:style w:type="character" w:styleId="WW8Num8z0">
    <w:name w:val="WW8Num8z0"/>
    <w:link w:val="656"/>
    <w:qFormat/>
    <w:rPr>
      <w:b/>
      <w:sz w:val="24"/>
      <w:szCs w:val="24"/>
    </w:rPr>
  </w:style>
  <w:style w:type="character" w:styleId="WW8Num8z1">
    <w:name w:val="WW8Num8z1"/>
    <w:link w:val="656"/>
    <w:qFormat/>
    <w:rPr/>
  </w:style>
  <w:style w:type="character" w:styleId="WW8Num8z2">
    <w:name w:val="WW8Num8z2"/>
    <w:link w:val="656"/>
    <w:qFormat/>
    <w:rPr/>
  </w:style>
  <w:style w:type="character" w:styleId="WW8Num8z3">
    <w:name w:val="WW8Num8z3"/>
    <w:link w:val="656"/>
    <w:qFormat/>
    <w:rPr/>
  </w:style>
  <w:style w:type="character" w:styleId="WW8Num8z4">
    <w:name w:val="WW8Num8z4"/>
    <w:link w:val="656"/>
    <w:qFormat/>
    <w:rPr/>
  </w:style>
  <w:style w:type="character" w:styleId="WW8Num8z5">
    <w:name w:val="WW8Num8z5"/>
    <w:link w:val="656"/>
    <w:qFormat/>
    <w:rPr/>
  </w:style>
  <w:style w:type="character" w:styleId="WW8Num8z6">
    <w:name w:val="WW8Num8z6"/>
    <w:link w:val="656"/>
    <w:qFormat/>
    <w:rPr/>
  </w:style>
  <w:style w:type="character" w:styleId="WW8Num8z7">
    <w:name w:val="WW8Num8z7"/>
    <w:link w:val="656"/>
    <w:qFormat/>
    <w:rPr/>
  </w:style>
  <w:style w:type="character" w:styleId="WW8Num8z8">
    <w:name w:val="WW8Num8z8"/>
    <w:link w:val="656"/>
    <w:qFormat/>
    <w:rPr/>
  </w:style>
  <w:style w:type="character" w:styleId="31">
    <w:name w:val="Основной шрифт абзаца3"/>
    <w:link w:val="656"/>
    <w:qFormat/>
    <w:rPr/>
  </w:style>
  <w:style w:type="character" w:styleId="21">
    <w:name w:val="Основной шрифт абзаца2"/>
    <w:link w:val="656"/>
    <w:qFormat/>
    <w:rPr/>
  </w:style>
  <w:style w:type="character" w:styleId="WW8Num7z1">
    <w:name w:val="WW8Num7z1"/>
    <w:link w:val="656"/>
    <w:qFormat/>
    <w:rPr>
      <w:rFonts w:ascii="Symbol" w:hAnsi="Symbol" w:cs="Symbol"/>
      <w:sz w:val="28"/>
      <w:szCs w:val="28"/>
    </w:rPr>
  </w:style>
  <w:style w:type="character" w:styleId="WW8Num7z2">
    <w:name w:val="WW8Num7z2"/>
    <w:link w:val="656"/>
    <w:qFormat/>
    <w:rPr/>
  </w:style>
  <w:style w:type="character" w:styleId="WW8Num7z3">
    <w:name w:val="WW8Num7z3"/>
    <w:link w:val="656"/>
    <w:qFormat/>
    <w:rPr/>
  </w:style>
  <w:style w:type="character" w:styleId="WW8Num7z4">
    <w:name w:val="WW8Num7z4"/>
    <w:link w:val="656"/>
    <w:qFormat/>
    <w:rPr/>
  </w:style>
  <w:style w:type="character" w:styleId="WW8Num7z5">
    <w:name w:val="WW8Num7z5"/>
    <w:link w:val="656"/>
    <w:qFormat/>
    <w:rPr/>
  </w:style>
  <w:style w:type="character" w:styleId="WW8Num7z6">
    <w:name w:val="WW8Num7z6"/>
    <w:link w:val="656"/>
    <w:qFormat/>
    <w:rPr/>
  </w:style>
  <w:style w:type="character" w:styleId="WW8Num7z7">
    <w:name w:val="WW8Num7z7"/>
    <w:link w:val="656"/>
    <w:qFormat/>
    <w:rPr/>
  </w:style>
  <w:style w:type="character" w:styleId="WW8Num7z8">
    <w:name w:val="WW8Num7z8"/>
    <w:link w:val="656"/>
    <w:qFormat/>
    <w:rPr/>
  </w:style>
  <w:style w:type="character" w:styleId="WW8Num9z0">
    <w:name w:val="WW8Num9z0"/>
    <w:link w:val="656"/>
    <w:qFormat/>
    <w:rPr>
      <w:rFonts w:ascii="Symbol" w:hAnsi="Symbol" w:cs="Symbol"/>
    </w:rPr>
  </w:style>
  <w:style w:type="character" w:styleId="WW8Num10z0">
    <w:name w:val="WW8Num10z0"/>
    <w:link w:val="656"/>
    <w:qFormat/>
    <w:rPr>
      <w:rFonts w:ascii="Symbol" w:hAnsi="Symbol" w:cs="Symbol"/>
    </w:rPr>
  </w:style>
  <w:style w:type="character" w:styleId="WW8Num2z1">
    <w:name w:val="WW8Num2z1"/>
    <w:link w:val="656"/>
    <w:qFormat/>
    <w:rPr>
      <w:rFonts w:ascii="Courier New" w:hAnsi="Courier New" w:cs="Courier New"/>
    </w:rPr>
  </w:style>
  <w:style w:type="character" w:styleId="WW8Num2z2">
    <w:name w:val="WW8Num2z2"/>
    <w:link w:val="656"/>
    <w:qFormat/>
    <w:rPr>
      <w:rFonts w:ascii="Wingdings" w:hAnsi="Wingdings" w:cs="Wingdings"/>
    </w:rPr>
  </w:style>
  <w:style w:type="character" w:styleId="WW8Num3z1">
    <w:name w:val="WW8Num3z1"/>
    <w:link w:val="656"/>
    <w:qFormat/>
    <w:rPr>
      <w:rFonts w:ascii="Courier New" w:hAnsi="Courier New" w:cs="Courier New"/>
    </w:rPr>
  </w:style>
  <w:style w:type="character" w:styleId="WW8Num3z2">
    <w:name w:val="WW8Num3z2"/>
    <w:link w:val="656"/>
    <w:qFormat/>
    <w:rPr>
      <w:rFonts w:ascii="Wingdings" w:hAnsi="Wingdings" w:cs="Wingdings"/>
    </w:rPr>
  </w:style>
  <w:style w:type="character" w:styleId="WW8Num9z1">
    <w:name w:val="WW8Num9z1"/>
    <w:link w:val="656"/>
    <w:qFormat/>
    <w:rPr>
      <w:rFonts w:ascii="Courier New" w:hAnsi="Courier New" w:cs="Courier New"/>
    </w:rPr>
  </w:style>
  <w:style w:type="character" w:styleId="WW8Num9z2">
    <w:name w:val="WW8Num9z2"/>
    <w:link w:val="656"/>
    <w:qFormat/>
    <w:rPr>
      <w:rFonts w:ascii="Wingdings" w:hAnsi="Wingdings" w:cs="Wingdings"/>
    </w:rPr>
  </w:style>
  <w:style w:type="character" w:styleId="WW8Num10z1">
    <w:name w:val="WW8Num10z1"/>
    <w:link w:val="656"/>
    <w:qFormat/>
    <w:rPr>
      <w:rFonts w:ascii="Courier New" w:hAnsi="Courier New" w:cs="Courier New"/>
    </w:rPr>
  </w:style>
  <w:style w:type="character" w:styleId="WW8Num10z2">
    <w:name w:val="WW8Num10z2"/>
    <w:link w:val="656"/>
    <w:qFormat/>
    <w:rPr>
      <w:rFonts w:ascii="Wingdings" w:hAnsi="Wingdings" w:cs="Wingdings"/>
    </w:rPr>
  </w:style>
  <w:style w:type="character" w:styleId="11">
    <w:name w:val="Основной шрифт абзаца1"/>
    <w:link w:val="656"/>
    <w:qFormat/>
    <w:rPr/>
  </w:style>
  <w:style w:type="character" w:styleId="12">
    <w:name w:val="Заголовок 1 Знак"/>
    <w:link w:val="656"/>
    <w:qFormat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styleId="Style9">
    <w:name w:val="Верхний колонтитул Знак"/>
    <w:link w:val="656"/>
    <w:qFormat/>
    <w:rPr>
      <w:rFonts w:ascii="Times New Roman" w:hAnsi="Times New Roman" w:eastAsia="Times New Roman" w:cs="Times New Roman"/>
    </w:rPr>
  </w:style>
  <w:style w:type="character" w:styleId="Style10">
    <w:name w:val="Нижний колонтитул Знак"/>
    <w:link w:val="656"/>
    <w:qFormat/>
    <w:rPr>
      <w:rFonts w:ascii="Times New Roman" w:hAnsi="Times New Roman" w:eastAsia="Times New Roman" w:cs="Times New Roman"/>
    </w:rPr>
  </w:style>
  <w:style w:type="character" w:styleId="Style11">
    <w:name w:val="Гиперссылка"/>
    <w:link w:val="656"/>
    <w:qFormat/>
    <w:rPr>
      <w:color w:val="0000FF"/>
      <w:u w:val="single"/>
    </w:rPr>
  </w:style>
  <w:style w:type="character" w:styleId="22">
    <w:name w:val="Заголовок 2 Знак"/>
    <w:link w:val="656"/>
    <w:qFormat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23">
    <w:name w:val="Основной текст 2 Знак"/>
    <w:link w:val="656"/>
    <w:qFormat/>
    <w:rPr>
      <w:lang w:eastAsia="zh-CN"/>
    </w:rPr>
  </w:style>
  <w:style w:type="character" w:styleId="Style12">
    <w:name w:val="Подзаголовок Знак"/>
    <w:link w:val="656"/>
    <w:qFormat/>
    <w:rPr>
      <w:rFonts w:ascii="Cambria" w:hAnsi="Cambria" w:cs="Cambria"/>
      <w:sz w:val="24"/>
      <w:szCs w:val="24"/>
      <w:lang w:val="en-US"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>
    <w:name w:val="Ссылка указателя"/>
    <w:qFormat/>
    <w:rPr/>
  </w:style>
  <w:style w:type="paragraph" w:styleId="Style14">
    <w:name w:val="Заголовок"/>
    <w:basedOn w:val="Normal"/>
    <w:next w:val="Style15"/>
    <w:link w:val="65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link w:val="656"/>
    <w:pPr>
      <w:spacing w:lineRule="auto" w:line="276" w:before="0" w:after="140"/>
    </w:pPr>
    <w:rPr/>
  </w:style>
  <w:style w:type="paragraph" w:styleId="Style16">
    <w:name w:val="List"/>
    <w:basedOn w:val="Style15"/>
    <w:link w:val="656"/>
    <w:pPr/>
    <w:rPr>
      <w:rFonts w:cs="Mangal"/>
    </w:rPr>
  </w:style>
  <w:style w:type="paragraph" w:styleId="Style17">
    <w:name w:val="Caption"/>
    <w:basedOn w:val="Normal"/>
    <w:uiPriority w:val="35"/>
    <w:semiHidden/>
    <w:unhideWhenUsed/>
    <w:qFormat/>
    <w:pPr>
      <w:spacing w:lineRule="auto" w:line="276"/>
    </w:pPr>
    <w:rPr>
      <w:b/>
      <w:bCs/>
      <w:color w:val="4F81BD" w:themeColor="accent1"/>
      <w:sz w:val="18"/>
      <w:szCs w:val="18"/>
    </w:rPr>
  </w:style>
  <w:style w:type="paragraph" w:styleId="Style18">
    <w:name w:val="Указатель"/>
    <w:basedOn w:val="Style14"/>
    <w:link w:val="656"/>
    <w:qFormat/>
    <w:pPr>
      <w:suppressLineNumbers/>
      <w:ind w:left="0" w:right="0" w:hanging="0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bidi w:val="0"/>
      <w:spacing w:lineRule="auto" w:line="240" w:before="0" w:after="0"/>
      <w:jc w:val="left"/>
    </w:pPr>
    <w:rPr>
      <w:rFonts w:ascii="Calibri" w:hAnsi="Calibri" w:eastAsia="NSimSun" w:cs="Mangal"/>
      <w:color w:val="auto"/>
      <w:kern w:val="0"/>
      <w:sz w:val="20"/>
      <w:szCs w:val="20"/>
      <w:lang w:val="ru-RU" w:eastAsia="zh-CN" w:bidi="ar-SA"/>
    </w:rPr>
  </w:style>
  <w:style w:type="paragraph" w:styleId="Style19">
    <w:name w:val="Title"/>
    <w:basedOn w:val="Normal"/>
    <w:link w:val="35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20">
    <w:name w:val="Subtitle"/>
    <w:basedOn w:val="Normal"/>
    <w:link w:val="656"/>
    <w:qFormat/>
    <w:pPr>
      <w:spacing w:before="0" w:after="60"/>
      <w:jc w:val="center"/>
    </w:pPr>
    <w:rPr>
      <w:rFonts w:ascii="Cambria" w:hAnsi="Cambria" w:cs="Cambria"/>
      <w:sz w:val="24"/>
      <w:szCs w:val="24"/>
      <w:lang w:val="en-US"/>
    </w:rPr>
  </w:style>
  <w:style w:type="paragraph" w:styleId="Quote">
    <w:name w:val="Quote"/>
    <w:basedOn w:val="Normal"/>
    <w:link w:val="39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link w:val="41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Style21">
    <w:name w:val="Верхний и нижний колонтитулы"/>
    <w:basedOn w:val="Normal"/>
    <w:link w:val="656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22">
    <w:name w:val="Header"/>
    <w:basedOn w:val="Normal"/>
    <w:link w:val="65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3">
    <w:name w:val="Footer"/>
    <w:basedOn w:val="Normal"/>
    <w:link w:val="65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4">
    <w:name w:val="Footnote Text"/>
    <w:basedOn w:val="Normal"/>
    <w:link w:val="176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5">
    <w:name w:val="Endnote Text"/>
    <w:basedOn w:val="Normal"/>
    <w:link w:val="179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3">
    <w:name w:val="TOC 1"/>
    <w:basedOn w:val="Normal"/>
    <w:link w:val="656"/>
    <w:pPr/>
    <w:rPr/>
  </w:style>
  <w:style w:type="paragraph" w:styleId="24">
    <w:name w:val="TOC 2"/>
    <w:basedOn w:val="Normal"/>
    <w:link w:val="656"/>
    <w:pPr>
      <w:ind w:left="200" w:right="0" w:hanging="0"/>
    </w:pPr>
    <w:rPr/>
  </w:style>
  <w:style w:type="paragraph" w:styleId="32">
    <w:name w:val="TOC 3"/>
    <w:basedOn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uiPriority w:val="39"/>
    <w:unhideWhenUsed/>
    <w:pPr>
      <w:spacing w:before="0" w:after="57"/>
      <w:ind w:left="2268" w:right="0" w:hanging="0"/>
    </w:pPr>
    <w:rPr/>
  </w:style>
  <w:style w:type="paragraph" w:styleId="TOCHeading">
    <w:name w:val="TOC Heading"/>
    <w:uiPriority w:val="39"/>
    <w:unhideWhenUsed/>
    <w:qFormat/>
    <w:pPr>
      <w:widowControl/>
      <w:bidi w:val="0"/>
      <w:jc w:val="left"/>
    </w:pPr>
    <w:rPr>
      <w:rFonts w:ascii="Calibri" w:hAnsi="Calibri" w:eastAsia="NSimSun" w:cs="Mangal"/>
      <w:color w:val="auto"/>
      <w:kern w:val="0"/>
      <w:sz w:val="20"/>
      <w:szCs w:val="20"/>
      <w:lang w:val="ru-RU" w:eastAsia="zh-CN" w:bidi="ar-SA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paragraph" w:styleId="Style26">
    <w:name w:val="Название объекта"/>
    <w:basedOn w:val="Normal"/>
    <w:link w:val="656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33">
    <w:name w:val="Указатель3"/>
    <w:basedOn w:val="Normal"/>
    <w:link w:val="656"/>
    <w:qFormat/>
    <w:pPr>
      <w:suppressLineNumbers/>
    </w:pPr>
    <w:rPr>
      <w:rFonts w:cs="Lucida Sans"/>
    </w:rPr>
  </w:style>
  <w:style w:type="paragraph" w:styleId="25">
    <w:name w:val="Название объекта2"/>
    <w:basedOn w:val="Normal"/>
    <w:link w:val="656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26">
    <w:name w:val="Указатель2"/>
    <w:basedOn w:val="Normal"/>
    <w:link w:val="656"/>
    <w:qFormat/>
    <w:pPr>
      <w:suppressLineNumbers/>
    </w:pPr>
    <w:rPr>
      <w:rFonts w:cs="Mangal"/>
    </w:rPr>
  </w:style>
  <w:style w:type="paragraph" w:styleId="14">
    <w:name w:val="Название объекта1"/>
    <w:basedOn w:val="Normal"/>
    <w:link w:val="656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5">
    <w:name w:val="Указатель1"/>
    <w:basedOn w:val="Normal"/>
    <w:link w:val="656"/>
    <w:qFormat/>
    <w:pPr>
      <w:suppressLineNumbers/>
    </w:pPr>
    <w:rPr>
      <w:rFonts w:cs="Mangal"/>
    </w:rPr>
  </w:style>
  <w:style w:type="paragraph" w:styleId="Style27">
    <w:name w:val="Абзац списка"/>
    <w:basedOn w:val="Normal"/>
    <w:link w:val="656"/>
    <w:qFormat/>
    <w:pPr>
      <w:spacing w:before="0" w:after="0"/>
      <w:ind w:left="720" w:right="0" w:hanging="0"/>
      <w:contextualSpacing/>
    </w:pPr>
    <w:rPr/>
  </w:style>
  <w:style w:type="paragraph" w:styleId="16">
    <w:name w:val="Заголовок таблицы ссылок1"/>
    <w:basedOn w:val="1"/>
    <w:link w:val="656"/>
    <w:qFormat/>
    <w:pPr>
      <w:spacing w:lineRule="auto" w:line="276"/>
      <w:ind w:left="0" w:right="0" w:hanging="0"/>
    </w:pPr>
    <w:rPr>
      <w:rFonts w:ascii="Cambria" w:hAnsi="Cambria" w:eastAsia="Times New Roman" w:cs="Times New Roman"/>
      <w:color w:val="365F91"/>
    </w:rPr>
  </w:style>
  <w:style w:type="paragraph" w:styleId="Style28">
    <w:name w:val="Обычный (веб)"/>
    <w:basedOn w:val="Normal"/>
    <w:link w:val="656"/>
    <w:qFormat/>
    <w:pPr>
      <w:spacing w:before="280" w:after="280"/>
    </w:pPr>
    <w:rPr>
      <w:sz w:val="24"/>
      <w:szCs w:val="24"/>
    </w:rPr>
  </w:style>
  <w:style w:type="paragraph" w:styleId="Style29">
    <w:name w:val="Содержимое таблицы"/>
    <w:basedOn w:val="Normal"/>
    <w:link w:val="656"/>
    <w:qFormat/>
    <w:pPr>
      <w:suppressLineNumbers/>
    </w:pPr>
    <w:rPr/>
  </w:style>
  <w:style w:type="paragraph" w:styleId="Style30">
    <w:name w:val="Заголовок таблицы"/>
    <w:basedOn w:val="Style29"/>
    <w:link w:val="656"/>
    <w:qFormat/>
    <w:pPr>
      <w:suppressLineNumbers/>
      <w:jc w:val="center"/>
    </w:pPr>
    <w:rPr>
      <w:b/>
      <w:bCs/>
    </w:rPr>
  </w:style>
  <w:style w:type="paragraph" w:styleId="Style31">
    <w:name w:val="Стиль"/>
    <w:link w:val="656"/>
    <w:qFormat/>
    <w:pPr>
      <w:widowControl w:val="false"/>
      <w:bidi w:val="0"/>
      <w:jc w:val="left"/>
    </w:pPr>
    <w:rPr>
      <w:rFonts w:ascii="Calibri" w:hAnsi="Calibri" w:eastAsia="NSimSun" w:cs="Mangal"/>
      <w:color w:val="auto"/>
      <w:kern w:val="0"/>
      <w:sz w:val="24"/>
      <w:szCs w:val="24"/>
      <w:lang w:val="ru-RU" w:eastAsia="zh-CN" w:bidi="ar-SA"/>
    </w:rPr>
  </w:style>
  <w:style w:type="paragraph" w:styleId="211">
    <w:name w:val="Основной текст 21"/>
    <w:basedOn w:val="Normal"/>
    <w:link w:val="656"/>
    <w:qFormat/>
    <w:pPr>
      <w:spacing w:lineRule="auto" w:line="480" w:before="0" w:after="120"/>
    </w:pPr>
    <w:rPr/>
  </w:style>
  <w:style w:type="paragraph" w:styleId="17">
    <w:name w:val="1"/>
    <w:basedOn w:val="Normal"/>
    <w:link w:val="656"/>
    <w:qFormat/>
    <w:pPr>
      <w:jc w:val="center"/>
    </w:pPr>
    <w:rPr>
      <w:b/>
      <w:bCs/>
      <w:sz w:val="28"/>
      <w:szCs w:val="28"/>
    </w:rPr>
  </w:style>
  <w:style w:type="paragraph" w:styleId="ConsPlusNormal">
    <w:name w:val="ConsPlusNormal"/>
    <w:link w:val="656"/>
    <w:qFormat/>
    <w:pPr>
      <w:widowControl w:val="false"/>
      <w:bidi w:val="0"/>
      <w:jc w:val="left"/>
    </w:pPr>
    <w:rPr>
      <w:rFonts w:ascii="Arial" w:hAnsi="Arial" w:cs="Arial" w:eastAsia="NSimSun"/>
      <w:color w:val="auto"/>
      <w:kern w:val="0"/>
      <w:sz w:val="20"/>
      <w:szCs w:val="20"/>
      <w:lang w:val="ru-RU" w:eastAsia="zh-CN" w:bidi="ar-SA"/>
    </w:rPr>
  </w:style>
  <w:style w:type="numbering" w:styleId="Style32">
    <w:name w:val="Нет списка"/>
    <w:link w:val="656"/>
    <w:uiPriority w:val="99"/>
    <w:semiHidden/>
    <w:unhideWhenUsed/>
    <w:qFormat/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LibreOffice/6.3.2.2$Windows_x86 LibreOffice_project/98b30e735bda24bc04ab42594c85f7fd8be07b9c</Application>
  <Pages>10</Pages>
  <Words>1994</Words>
  <Characters>14257</Characters>
  <CharactersWithSpaces>15950</CharactersWithSpaces>
  <Paragraphs>240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2022-09-07T16:19:00Z</dcterms:created>
  <dc:creator>Пользователь Windows</dc:creator>
  <dc:description/>
  <dc:language>ru-RU</dc:language>
  <cp:lastModifiedBy/>
  <dcterms:modified xsi:type="dcterms:W3CDTF">2025-03-04T11:07:09Z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Microsoft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ScaleCrop">
    <vt:bool>0</vt:bool>
  </property>
  <property fmtid="{D5CDD505-2E9C-101B-9397-08002B2CF9AE}" pid="6" name="ShareDoc">
    <vt:bool>0</vt:bool>
  </property>
  <property fmtid="{D5CDD505-2E9C-101B-9397-08002B2CF9AE}" pid="7" name="version">
    <vt:lpwstr>1048576</vt:lpwstr>
  </property>
</Properties>
</file>