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Министерство образования Вологодской области</w:t>
      </w:r>
    </w:p>
    <w:p>
      <w:pPr>
        <w:pStyle w:val="Normal"/>
        <w:jc w:val="center"/>
        <w:rPr/>
      </w:pPr>
      <w:r>
        <w:rPr>
          <w:sz w:val="28"/>
          <w:szCs w:val="28"/>
        </w:rPr>
        <w:t>БПОУ  ВО «Вологодский аграрно-экономический колледж»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b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</w:r>
    </w:p>
    <w:p>
      <w:pPr>
        <w:pStyle w:val="Normal"/>
        <w:jc w:val="center"/>
        <w:rPr>
          <w:b/>
          <w:b/>
          <w:bCs/>
          <w:sz w:val="36"/>
          <w:szCs w:val="36"/>
          <w:lang w:eastAsia="ru-RU"/>
        </w:rPr>
      </w:pPr>
      <w:r>
        <w:rPr>
          <w:b/>
          <w:bCs/>
          <w:sz w:val="36"/>
          <w:szCs w:val="36"/>
          <w:lang w:eastAsia="ru-RU"/>
        </w:rPr>
      </w:r>
    </w:p>
    <w:p>
      <w:pPr>
        <w:pStyle w:val="Normal"/>
        <w:jc w:val="center"/>
        <w:rPr>
          <w:b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Методические указания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 выполнению  внеаудиторной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самостоятельной   работы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  <w:lang w:eastAsia="ru-RU"/>
        </w:rPr>
        <w:t>ПРОФЕССИОНАЛЬНОГО МОДУЛЯ</w:t>
      </w:r>
    </w:p>
    <w:p>
      <w:pPr>
        <w:pStyle w:val="Normal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1"/>
        <w:keepLines w:val="false"/>
        <w:numPr>
          <w:ilvl w:val="0"/>
          <w:numId w:val="1"/>
        </w:numPr>
        <w:spacing w:before="0" w:after="0"/>
        <w:ind w:firstLine="284"/>
        <w:jc w:val="center"/>
        <w:rPr/>
      </w:pPr>
      <w:r>
        <w:rPr>
          <w:rFonts w:ascii="Times New Roman" w:hAnsi="Times New Roman"/>
          <w:color w:val="000000"/>
        </w:rPr>
        <w:t>ПМ. 02 Осуществление кредитных операций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/>
          <w:caps/>
          <w:color w:val="FF0000"/>
          <w:sz w:val="28"/>
          <w:szCs w:val="28"/>
        </w:rPr>
      </w:pPr>
      <w:r>
        <w:rPr>
          <w:b/>
          <w:caps/>
          <w:color w:val="FF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  <w:color w:val="FF0000"/>
          <w:sz w:val="28"/>
          <w:szCs w:val="28"/>
        </w:rPr>
      </w:pPr>
      <w:r>
        <w:rPr>
          <w:b/>
          <w:caps/>
          <w:color w:val="FF0000"/>
          <w:sz w:val="28"/>
          <w:szCs w:val="28"/>
        </w:rPr>
      </w:r>
    </w:p>
    <w:p>
      <w:pPr>
        <w:pStyle w:val="Normal"/>
        <w:keepNext w:val="true"/>
        <w:suppressLineNumbers/>
        <w:jc w:val="center"/>
        <w:rPr/>
      </w:pPr>
      <w:r>
        <w:rPr>
          <w:sz w:val="28"/>
          <w:szCs w:val="28"/>
        </w:rPr>
        <w:t>по специальности  38.02.07 Банковское дело</w:t>
      </w:r>
    </w:p>
    <w:p>
      <w:pPr>
        <w:pStyle w:val="Normal"/>
        <w:keepNext w:val="true"/>
        <w:suppressLineNumbers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Вологда 2024</w:t>
      </w:r>
    </w:p>
    <w:p>
      <w:pPr>
        <w:pStyle w:val="Normal"/>
        <w:jc w:val="center"/>
        <w:rPr/>
      </w:pPr>
      <w:r>
        <w:rPr/>
      </w:r>
      <w:r>
        <w:br w:type="page"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8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2"/>
        <w:gridCol w:w="5386"/>
      </w:tblGrid>
      <w:tr>
        <w:trPr/>
        <w:tc>
          <w:tcPr>
            <w:tcW w:w="45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538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06</w:t>
            </w:r>
            <w:r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Разработчик – Кощеева Маргарита Алексеевна, преподаватель БПОУ  ВО «Вологодский аграрно-экономический колледж»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Методические указания предназначены для обучающихся специальности 38.02.07 Банковское дело и направлены на оказание практической помощи при выполнении внеаудиторной  самостоятельной работы по профессиональному модулю.</w:t>
      </w:r>
      <w:r>
        <w:br w:type="page"/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16"/>
        <w:spacing w:lineRule="auto" w:line="360"/>
        <w:ind w:left="0" w:right="0" w:hanging="0"/>
        <w:jc w:val="center"/>
        <w:rPr/>
      </w:pPr>
      <w:r>
        <w:rPr>
          <w:rFonts w:ascii="Times New Roman" w:hAnsi="Times New Roman"/>
          <w:color w:val="000000"/>
        </w:rPr>
        <w:t>Содержание</w:t>
      </w:r>
    </w:p>
    <w:p>
      <w:pPr>
        <w:sectPr>
          <w:footerReference w:type="default" r:id="rId4"/>
          <w:type w:val="nextPage"/>
          <w:pgSz w:w="11906" w:h="16838"/>
          <w:pgMar w:left="1020" w:right="567" w:header="0" w:top="1134" w:footer="708" w:bottom="1134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16"/>
        <w:spacing w:lineRule="auto" w:line="360"/>
        <w:ind w:left="0" w:right="0" w:hanging="0"/>
        <w:jc w:val="center"/>
        <w:rPr>
          <w:rFonts w:ascii="Times New Roman" w:hAnsi="Times New Roman"/>
          <w:color w:val="000000"/>
        </w:rPr>
      </w:pPr>
      <w:r>
        <w:rPr/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3"/>
            <w:tabs>
              <w:tab w:val="clear" w:pos="708"/>
              <w:tab w:val="right" w:pos="9628" w:leader="dot"/>
            </w:tabs>
            <w:spacing w:lineRule="auto" w:line="360"/>
            <w:rPr>
              <w:sz w:val="28"/>
              <w:szCs w:val="28"/>
            </w:rPr>
          </w:pPr>
          <w:r>
            <w:fldChar w:fldCharType="begin"/>
          </w:r>
          <w:r>
            <w:rPr>
              <w:sz w:val="28"/>
              <w:szCs w:val="28"/>
            </w:rPr>
            <w:instrText> TOC \z \o "1-3" \u \h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</w:r>
          <w:r>
            <w:rPr>
              <w:sz w:val="28"/>
              <w:szCs w:val="28"/>
            </w:rPr>
            <w:fldChar w:fldCharType="end"/>
          </w:r>
        </w:p>
        <w:p>
          <w:pPr>
            <w:sectPr>
              <w:type w:val="continuous"/>
              <w:pgSz w:w="11906" w:h="16838"/>
              <w:pgMar w:left="1020" w:right="567" w:header="0" w:top="1134" w:footer="708" w:bottom="1134" w:gutter="0"/>
              <w:formProt w:val="false"/>
              <w:textDirection w:val="lrTb"/>
              <w:docGrid w:type="default" w:linePitch="360" w:charSpace="8192"/>
            </w:sectPr>
          </w:pPr>
        </w:p>
      </w:sdtContent>
    </w:sdt>
    <w:p>
      <w:pPr>
        <w:pStyle w:val="13"/>
        <w:tabs>
          <w:tab w:val="clear" w:pos="708"/>
          <w:tab w:val="right" w:pos="9628" w:leader="dot"/>
        </w:tabs>
        <w:spacing w:lineRule="auto" w:line="360"/>
        <w:rPr/>
      </w:pPr>
      <w:hyperlink w:anchor="__RefHeading___Toc56010711">
        <w:r>
          <w:rPr>
            <w:rStyle w:val="Style13"/>
            <w:sz w:val="28"/>
            <w:szCs w:val="28"/>
          </w:rPr>
          <w:t>Введение</w:t>
          <w:tab/>
          <w:t>4</w:t>
        </w:r>
      </w:hyperlink>
    </w:p>
    <w:p>
      <w:pPr>
        <w:pStyle w:val="13"/>
        <w:tabs>
          <w:tab w:val="clear" w:pos="708"/>
          <w:tab w:val="right" w:pos="9628" w:leader="dot"/>
        </w:tabs>
        <w:spacing w:lineRule="auto" w:line="360"/>
        <w:rPr/>
      </w:pPr>
      <w:hyperlink w:anchor="__RefHeading___Toc56010712">
        <w:r>
          <w:rPr>
            <w:rStyle w:val="Style13"/>
            <w:sz w:val="28"/>
            <w:szCs w:val="28"/>
          </w:rPr>
          <w:t>Цели, основные виды самостоятельной работы обучающихся</w:t>
          <w:tab/>
          <w:t>5</w:t>
        </w:r>
      </w:hyperlink>
    </w:p>
    <w:p>
      <w:pPr>
        <w:pStyle w:val="13"/>
        <w:tabs>
          <w:tab w:val="clear" w:pos="708"/>
          <w:tab w:val="right" w:pos="9628" w:leader="dot"/>
        </w:tabs>
        <w:spacing w:lineRule="auto" w:line="360"/>
        <w:rPr/>
      </w:pPr>
      <w:hyperlink w:anchor="__RefHeading___Toc56010713">
        <w:r>
          <w:rPr>
            <w:rStyle w:val="Style13"/>
            <w:sz w:val="28"/>
            <w:szCs w:val="28"/>
          </w:rPr>
          <w:t>Критерии оценки результатов самостоятельной работы</w:t>
          <w:tab/>
          <w:t>6</w:t>
        </w:r>
      </w:hyperlink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1"/>
        <w:numPr>
          <w:ilvl w:val="0"/>
          <w:numId w:val="1"/>
        </w:numPr>
        <w:spacing w:before="0" w:after="0"/>
        <w:jc w:val="center"/>
        <w:rPr/>
      </w:pPr>
      <w:bookmarkStart w:id="1" w:name="__RefHeading___Toc56010711"/>
      <w:bookmarkEnd w:id="1"/>
      <w:r>
        <w:rPr>
          <w:rFonts w:ascii="Times New Roman" w:hAnsi="Times New Roman"/>
          <w:color w:val="000000"/>
          <w:sz w:val="24"/>
          <w:szCs w:val="24"/>
        </w:rPr>
        <w:t>Введение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Выполнение самостоятельной работы должно способствовать более полному усвоению программного материала.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Методические указания для выполнения самостоятельной работы составлены в соответствии с рабочими программами междисциплинарных курсов и рассчитаны: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по МДК 02.01 – на 16 часов;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по МДК 02.02 – на 10 часов.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 xml:space="preserve">В результате выполнения самостоятельной работы обучающийся должен </w:t>
      </w:r>
      <w:r>
        <w:rPr>
          <w:b/>
          <w:sz w:val="24"/>
          <w:szCs w:val="24"/>
        </w:rPr>
        <w:t>уметь</w:t>
      </w:r>
      <w:r>
        <w:rPr>
          <w:sz w:val="24"/>
          <w:szCs w:val="24"/>
        </w:rPr>
        <w:t>: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консультировать заемщиков по условиям предоставления и порядку погашения кредитов;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анализировать финансовое положение заемщика – юридического лица и технико-экономическое обоснование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определять платежеспособность физического лица;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проверять полноту и подлинность документов заемщика для получения кредитов;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проверять качество и достаточность обеспечения возвратности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составлять заключение о возможности предоставления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оперативно принимать решения по предложению клиенту дополнительного банковского продукта (кросс-продажа);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составлять договор о залоге;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оформлять пакет документов для заключения договора о залоге;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составлять график платежей по кредиту и процентам,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комплект документов на открытие счетов и выдачу кредитов различных видов;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выписки по лицевым счетам заемщиков и разъяснять им содержащиеся в выписках данные;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формировать и вести кредитные дела;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составлять акты по итогам проверок сохранности обеспечения;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определять возможность предоставления межбанковского кредита с учетом финансового положения контрагента;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определять достаточность обеспечения возвратности межбанковского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пользоваться оперативной информацией о ставках по рублевым и валютным межбанковским кредитам, получаемой по телекоммуникационным каналам;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применять универсальное и специализированное программное обеспечение, необходимое для сбора и анализа информации для сотрудничества на межбанковском рынке;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пользоваться справочными информационными базами данных, необходимых для сотрудничества на межбанковском рынке;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и отражать в учете операции по выдаче кредитов физическим и юридическим лицам, погашению ими кредитов;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и вести учет обеспечения по предоставленным кредитам;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и отражать в учете сделки по предоставлению и получению кредитов на рынке межбанковского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и отражать в учете начисление и взыскание процентов по кредитам;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вести мониторинг финансового положения клиента;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контролировать соответствие и правильность исполнения залогодателем своих обязательств;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оценивать качество обслуживания долга и кредитный риск по выданным кредитам;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выявлять причины ненадлежащего исполнения условий договора и выставлять требования по оплате просроченной задолженности;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выбирать формы и методы взаимодействия с заемщиком, имеющим просроченную задолженность;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разрабатывать систему мотивации заемщика, имеющего просроченную задолженность, и применять ее с целью обеспечения производства платежей с учетом индивидуальных особенностей заемщика и условий кредитного досье;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подбирать оптимальный способ погашения просроченной задолженности;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планировать работу с заемщиком, имеющим просроченную задолженность, на основании предварительно проделанной работы и с учетом намерений заемщика по оплате просроченной задолженности;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рассчитывать и отражать в учете сумму формируемого резерва;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специализированное программное обеспечение для совершения операций по кредитованию; программное обеспечение для совершения операций по кредитованию;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отражать в бухгалтерском учете операции по предоставлению и погашению кредита и процентов по нему;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отражать в бухгалтерском учете операции по оформлению обеспечения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отражать в бухгалтерском учете создание резерва на возможные потери по ссудам;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отражать в бухгалтерском учете операции по просроченным кредитам.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4"/>
          <w:szCs w:val="24"/>
          <w:lang w:eastAsia="ru-RU"/>
        </w:rPr>
        <w:t xml:space="preserve">В результате освоения модуля обучающийся должен </w:t>
      </w:r>
      <w:r>
        <w:rPr>
          <w:b/>
          <w:color w:val="000000"/>
          <w:sz w:val="24"/>
          <w:szCs w:val="24"/>
          <w:lang w:eastAsia="ru-RU"/>
        </w:rPr>
        <w:t>знать: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нормативные правовые акты, регулирующие осуществление кредитных операций и обеспечение кредитных обязательств;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</w:r>
      <w:r>
        <w:rPr>
          <w:rFonts w:cs="Times New Roman" w:ascii="Times New Roman" w:hAnsi="Times New Roman"/>
          <w:lang w:val="ru-RU"/>
        </w:rPr>
        <w:t xml:space="preserve"> </w:t>
      </w:r>
      <w:r>
        <w:rPr>
          <w:rFonts w:cs="Times New Roman" w:ascii="Times New Roman" w:hAnsi="Times New Roman"/>
        </w:rPr>
        <w:t>законодательство Российской Федерации о персональных данных;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нормативные документы Банка России об идентификации клиентов и внутреннем контроле (аудите);</w:t>
      </w:r>
      <w:r>
        <w:rPr>
          <w:rFonts w:cs="Times New Roman" w:ascii="Times New Roman" w:hAnsi="Times New Roman"/>
          <w:lang w:val="ru-RU"/>
        </w:rPr>
        <w:t xml:space="preserve"> </w:t>
      </w:r>
      <w:r>
        <w:rPr>
          <w:rFonts w:cs="Times New Roman" w:ascii="Times New Roman" w:hAnsi="Times New Roman"/>
        </w:rPr>
        <w:t>рекомендации Ассоциации региональных банков России по вопросам определения кредитоспособности заемщиков;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порядок взаимодействия с бюро кредитных историй;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законодательство Российской Федерации о защите прав потребителей, в том числе потребителей финансовых услуг;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законодательство Российской Федерации о залогах и поручительстве; гражданское законодательство Российской Федерации об ответственности за неисполнение условий договора;</w:t>
      </w:r>
      <w:r>
        <w:rPr>
          <w:rFonts w:cs="Times New Roman" w:ascii="Times New Roman" w:hAnsi="Times New Roman"/>
          <w:lang w:val="ru-RU"/>
        </w:rPr>
        <w:t xml:space="preserve"> </w:t>
      </w:r>
      <w:r>
        <w:rPr>
          <w:rFonts w:cs="Times New Roman" w:ascii="Times New Roman" w:hAnsi="Times New Roman"/>
        </w:rPr>
        <w:t>законодательство Российской Федерации об ипотеке;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законодательство Российской Федерации о государственной регистрации прав на недвижимое имущество и сделок с ним;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нормативные документы Банка России и внутренние документы банка о порядке формирования кредитными организациями резервов на возможные потери;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способы и порядок предоставления и погашения различных видов кредитов;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способы обеспечения возвратности кредита, виды залога;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методы оценки залоговой стоимости, ликвидности предмета залога;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требования, предъявляемые банком к потенциальному заемщику;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состав и содержание основных источников информации о клиенте;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методы оценки платежеспособности физического лица, системы кредитного скоринга;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локальные нормативные акты и методические документы, касающиеся реструктуризации и рефинансирования задолженности физических лиц;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бизнес-культуру потребительского кредитования;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методы определения класса кредитоспособности юридического лица;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содержание кредитного договора, порядок его заключения, изменения условий и расторжения;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состав кредитного дела и порядок его ведения;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способы и порядок начисления и погашения процентов по кредитам;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порядок осуществления контроля своевременности и полноты поступления платежей по кредиту и учета просроченных платежей;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критерии определения проблемного кредита;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типовые причины неисполнения условий кредитного договора и способы погашения просроченной задолженности;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меры, принимаемые банком при нарушении условий кредитного договора;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отечественную и международную практику взыскания задолженности;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методологию мониторинга и анализа показателей качества и эффективности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особенности делопроизводства и документооборот на межбанковском рынке; основные условия получения и погашения кредитов, предоставляемых Банком России;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порядок оценки кредитного риска и определения суммы создаваемого резерва по выданному кредиту;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4"/>
          <w:szCs w:val="24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получении знаний.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  <w:bookmarkStart w:id="2" w:name="__RefHeading___Toc56010712"/>
      <w:bookmarkStart w:id="3" w:name="__RefHeading___Toc56010712"/>
      <w:bookmarkEnd w:id="3"/>
    </w:p>
    <w:p>
      <w:pPr>
        <w:pStyle w:val="Normal"/>
        <w:numPr>
          <w:ilvl w:val="0"/>
          <w:numId w:val="4"/>
        </w:numPr>
        <w:jc w:val="center"/>
        <w:rPr/>
      </w:pPr>
      <w:r>
        <w:rPr>
          <w:b/>
          <w:sz w:val="24"/>
          <w:szCs w:val="24"/>
        </w:rPr>
        <w:t>Цели, основные виды самостоятельной работы обучающихся</w:t>
      </w:r>
    </w:p>
    <w:p>
      <w:pPr>
        <w:pStyle w:val="Normal"/>
        <w:ind w:firstLine="284"/>
        <w:jc w:val="both"/>
        <w:rPr/>
      </w:pPr>
      <w:r>
        <w:rPr>
          <w:b/>
          <w:bCs/>
          <w:i/>
          <w:sz w:val="24"/>
          <w:szCs w:val="24"/>
        </w:rPr>
        <w:t>Цели самостоятельной внеаудиторной работы студентов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закрепление, углубление, расширение и систематизация знаний, самостоятельное овладение новым учебным материалом;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формирование профессиональных явлений;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формирование умений и навыков самостоятельного умственного труда;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мотивирование регулярной целенаправленной работы по освоению специальности;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развитие самостоятельного мышления;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убежденности, волевых черт характера, способности к самоорганизации.</w:t>
      </w:r>
    </w:p>
    <w:p>
      <w:pPr>
        <w:pStyle w:val="Normal"/>
        <w:ind w:firstLine="284"/>
        <w:jc w:val="both"/>
        <w:rPr/>
      </w:pPr>
      <w:r>
        <w:rPr/>
      </w:r>
    </w:p>
    <w:tbl>
      <w:tblPr>
        <w:tblW w:w="10434" w:type="dxa"/>
        <w:jc w:val="left"/>
        <w:tblInd w:w="-19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03"/>
        <w:gridCol w:w="4190"/>
        <w:gridCol w:w="567"/>
        <w:gridCol w:w="3473"/>
      </w:tblGrid>
      <w:tr>
        <w:trPr/>
        <w:tc>
          <w:tcPr>
            <w:tcW w:w="10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МДК 02.02  Учет кредитных операций</w:t>
            </w:r>
          </w:p>
        </w:tc>
      </w:tr>
      <w:tr>
        <w:trPr/>
        <w:tc>
          <w:tcPr>
            <w:tcW w:w="22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bCs/>
                <w:sz w:val="24"/>
                <w:szCs w:val="24"/>
              </w:rPr>
              <w:t xml:space="preserve">Учетная  политика банка. </w:t>
            </w:r>
          </w:p>
        </w:tc>
        <w:tc>
          <w:tcPr>
            <w:tcW w:w="41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sz w:val="24"/>
                <w:szCs w:val="24"/>
              </w:rPr>
              <w:t>Решение практико-ориентированных  / ситуационных задач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Курныкина О.В.,Соколинская Н.Э. Организация бухгалтерского учета в банках,  учебник для СПО, 2021</w:t>
            </w:r>
          </w:p>
        </w:tc>
      </w:tr>
      <w:tr>
        <w:trPr/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bCs/>
                <w:sz w:val="24"/>
                <w:szCs w:val="24"/>
              </w:rPr>
              <w:t>Способы обеспечения возвратности кредита.  Порядок отражения в учете выдачи кредитов различных видов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sz w:val="24"/>
                <w:szCs w:val="24"/>
              </w:rPr>
              <w:t>Решение практико-ориентированных  / ситуационных задач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Костюкова Е.И.,Фролов А.В.,Фролова А.А., Организация бухгалтерского учета в банках,  учебник для СПО, 2021</w:t>
            </w:r>
          </w:p>
        </w:tc>
      </w:tr>
      <w:tr>
        <w:trPr/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bCs/>
                <w:sz w:val="24"/>
                <w:szCs w:val="24"/>
              </w:rPr>
              <w:t>Учёт межбанковских кредитов. Формирование  резервов на возможные потери по  ссудам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sz w:val="24"/>
                <w:szCs w:val="24"/>
              </w:rPr>
              <w:t>Решение практико-ориентированных  / ситуационных задач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Курныкина О.В.,Соколинская Н.Э. Организация бухгалтерского учета в банках,  учебник для СПО, 2021</w:t>
            </w:r>
          </w:p>
        </w:tc>
      </w:tr>
      <w:tr>
        <w:trPr/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bCs/>
                <w:sz w:val="24"/>
                <w:szCs w:val="24"/>
              </w:rPr>
              <w:t>Отражение погашения кредитов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sz w:val="24"/>
                <w:szCs w:val="24"/>
              </w:rPr>
              <w:t>Решение практико-ориентированных  / ситуационных задач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Костюкова Е.И.,Фролов А.В.,Фролова А.А., Организация бухгалтерского учета в банках,  учебник для СПО, 2021</w:t>
            </w:r>
          </w:p>
        </w:tc>
      </w:tr>
      <w:tr>
        <w:trPr/>
        <w:tc>
          <w:tcPr>
            <w:tcW w:w="6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b/>
                <w:bCs/>
                <w:sz w:val="24"/>
                <w:szCs w:val="24"/>
              </w:rPr>
              <w:t>Итого по МДК 02.02 Учет кредитных операций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 самостоятельной   работы.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center"/>
        <w:rPr/>
      </w:pPr>
      <w:r>
        <w:rPr>
          <w:b/>
          <w:sz w:val="24"/>
          <w:szCs w:val="24"/>
        </w:rPr>
        <w:t>Критерии оценки результатов самостоятельной работы по МДК 02.02 Учет кредитных операций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Критериями оценки результатов внеаудиторной самостоятельной работы обучающихся являются: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освоения учебного материала;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использовать теоретические знания при выполнении практических задач;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сформированности общеучебных умений;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обоснованность и четкость изложения материала;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оформление материала в соответствии с требованиями стандарта;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ориентироваться в потоке информации, выделять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главное;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четко сформулировать проблему, предложив ее решение, критически оценить решение и его последствия;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определить, проанализировать альтернативные возможности, варианты действий;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сформулировать собственную позицию, оценку и аргументировать ее.</w:t>
      </w:r>
    </w:p>
    <w:p>
      <w:pPr>
        <w:pStyle w:val="Normal"/>
        <w:shd w:val="clear" w:color="auto" w:fill="FFFFFF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hd w:val="clear" w:color="auto" w:fill="FFFFFF"/>
        <w:jc w:val="both"/>
        <w:rPr/>
      </w:pPr>
      <w:r>
        <w:rPr>
          <w:b/>
          <w:bCs/>
          <w:sz w:val="24"/>
          <w:szCs w:val="24"/>
        </w:rPr>
        <w:t>Ситуационные практико-ориентированные задачи для самостоятельной работы по МДК 02.02 Учет кредитных операций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ЗАДАЧА </w:t>
      </w:r>
      <w:r>
        <w:rPr>
          <w:rFonts w:cs="Times New Roman" w:ascii="Times New Roman" w:hAnsi="Times New Roman"/>
          <w:sz w:val="24"/>
          <w:szCs w:val="24"/>
        </w:rPr>
        <w:t>1. Используя Положение Банка России № 579-П «О правилах ведения бухгалтерского учета в кредитных организациях, расположенных на территории Российской Федерации» сформировать структуру плана счетов в кредитных организациях по форме таблицы 1.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Таблица 1.</w:t>
      </w:r>
    </w:p>
    <w:p>
      <w:pPr>
        <w:pStyle w:val="ConsPlusNormal"/>
        <w:jc w:val="center"/>
        <w:rPr/>
      </w:pPr>
      <w:r>
        <w:rPr/>
        <w:t>Структура плана счетов в кредитных организациях РФ</w:t>
      </w:r>
    </w:p>
    <w:tbl>
      <w:tblPr>
        <w:tblW w:w="9190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8"/>
        <w:gridCol w:w="3232"/>
        <w:gridCol w:w="3690"/>
      </w:tblGrid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center"/>
              <w:rPr/>
            </w:pPr>
            <w:r>
              <w:rPr/>
              <w:t>Группа счетов бух.учета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center"/>
              <w:rPr/>
            </w:pPr>
            <w:r>
              <w:rPr/>
              <w:t>Раздел счетов бух.учета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center"/>
              <w:rPr/>
            </w:pPr>
            <w:r>
              <w:rPr/>
              <w:t>Подразделы и примеры счетов, сгруппированных в разделе</w:t>
            </w:r>
          </w:p>
        </w:tc>
      </w:tr>
      <w:tr>
        <w:trPr>
          <w:cantSplit w:val="true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А.Балансовые счета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 xml:space="preserve">Раздел 1. Капитал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Уставный капитал КО</w:t>
            </w:r>
          </w:p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Собственные доли уставного капитала, выкупленные КО</w:t>
            </w:r>
          </w:p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Резервный капитал</w:t>
            </w:r>
          </w:p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Добавочный капитал</w:t>
            </w:r>
          </w:p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Нераспределенная прибыль</w:t>
            </w:r>
          </w:p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Непокрытый убыток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1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ЗАДАЧА 2. </w:t>
      </w:r>
      <w:r>
        <w:rPr>
          <w:rFonts w:ascii="Times New Roman" w:hAnsi="Times New Roman"/>
          <w:b w:val="false"/>
          <w:color w:val="000000"/>
          <w:sz w:val="24"/>
          <w:szCs w:val="24"/>
        </w:rPr>
        <w:t>Используя Положение Банка России № 590-П  «О правилах ведения бухгалтерского учета в кредитных организациях, расположенных на территории Российской Федерации», определите, какие из приведенных счетов являются балансовыми, внебалансовыми, активными, пассивными, какие  из балансовых счетов относится к счетам первого и второго порядков. Укажите, какие счета из приведенных ниже исключены из плана счетов в кредитных организациях.</w:t>
      </w:r>
    </w:p>
    <w:p>
      <w:pPr>
        <w:pStyle w:val="Style1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5"/>
        <w:rPr/>
      </w:pPr>
      <w:r>
        <w:rPr>
          <w:sz w:val="24"/>
        </w:rPr>
        <w:t>СИТУАЦИЯ 1</w:t>
      </w:r>
    </w:p>
    <w:p>
      <w:pPr>
        <w:pStyle w:val="Normal"/>
        <w:numPr>
          <w:ilvl w:val="0"/>
          <w:numId w:val="5"/>
        </w:numPr>
        <w:ind w:left="0" w:hanging="0"/>
        <w:jc w:val="both"/>
        <w:rPr/>
      </w:pPr>
      <w:r>
        <w:rPr>
          <w:sz w:val="24"/>
          <w:szCs w:val="24"/>
        </w:rPr>
        <w:t>уставный капитал кредитных организаций, созданных в форме акционерного общества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резервный фонд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касса кредитных организаций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платежные документы в иностранной валюте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корреспондентские счета кредитных организаций в Банке России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счета банков для расчетов чеками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кредиты, полученные кредитными организациями от кредитных организаций на срок от 8 до 30 дней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капитальные вложения (собственные)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нематериальные активы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фонды экономического стимулирования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кредиты, предоставленные коммерческим предприятиям, находящимися в федеральной собственности на срок от 31 до 180 дней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проценты за кредит, не уплаченные в срок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кредиты, не погашенные в срок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расчеты по отдельным операциям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расчеты с дебиторами и кредиторами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основные средства банков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эмиссионный доход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прирост стоимости имущества при переоценке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прибыль отчетного года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убытки отчетного года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проценты, уплаченные за привлеченные кредиты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проценты, полученные за предоставленные кредиты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доходы будущих периодов по кредитным операциям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использование прибыли отчетного года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бланки собственных ценных бумаг для распространения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открытые кредитные линии по предоставлению кредитов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расчетные документы, не оплаченные в срок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 xml:space="preserve">гарантии, выданные банком 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недостача ценных бумаг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нереализованные курсовые разницы по переоценке ценных бумаг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задолженность по процентным платежам по основному долгу, списанному из-за невозможности взыскания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долги, списанные в убыток</w:t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/>
      </w:pPr>
      <w:r>
        <w:rPr>
          <w:sz w:val="24"/>
          <w:szCs w:val="24"/>
        </w:rPr>
        <w:t>СИТУАЦИЯ 2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кредит, предоставленный негосударственным некоммерческим организациям при недостатке средств на расчетном счете (овердрафт)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выпущенные сберегательные сертификаты со сроком погашения от 91 до 180 дней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фонды накопления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счета клиентов в драгоценных металлах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расходы по операциям с ценными бумагами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привлеченные средства юридических лиц-нерезидентов на срок свыше 3 лет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кредиты, полученные от банков-нерезидентов на срок от 2 до 7 дней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просроченная задолженность по предоставленным межбанковским кредитам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средства в расчетах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средства местных бюджетов, выделенные негосударственным предприятиям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собственные доли уставного капитала, выкупленные банком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бланки строгой отчетности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начисленные проценты по вкладам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налог на добавленную стоимость по приобретенным материальным ценностям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аккредитивы к оплате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природные драгоценные камни в пути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требования по выкупу ценных бумаг по обратной части операций РЕПО со сроком исполнения на следующий день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депозиты, размещенные в Банке России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счета негосударственных финансовых организаций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депозиты негосударственных финансовых организаций для расчетов с использованием пластиковых карт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расчеты с филиалами, расположенными за границей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депозиты физических лиц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требования по выкупу ценных бумаг по обратной части операций РЕПО со сроком исполнения на следующий день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проценты за кредит, не уплаченные в срок гражданами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долговые обязательства банков – нерезидентов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акции банков-нерезидентов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расчеты по обязательным резервам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расчеты с Министерством финансов по ценным бумагам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лизинговые операции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переоценка средств в иностранной валюте – положительные разницы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текущие счета (в доверительном управлении)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неразмещенные ценные бумаги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арендованные основные средства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корреспондентские счета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ценные бумаги на хранении в депозитарии</w:t>
      </w:r>
    </w:p>
    <w:p>
      <w:pPr>
        <w:pStyle w:val="Normal"/>
        <w:tabs>
          <w:tab w:val="clear" w:pos="708"/>
          <w:tab w:val="left" w:pos="993" w:leader="none"/>
        </w:tabs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284" w:leader="none"/>
          <w:tab w:val="left" w:pos="993" w:leader="none"/>
        </w:tabs>
        <w:jc w:val="center"/>
        <w:rPr/>
      </w:pPr>
      <w:r>
        <w:rPr>
          <w:i/>
          <w:sz w:val="24"/>
          <w:szCs w:val="24"/>
          <w:lang w:eastAsia="ru-RU"/>
        </w:rPr>
        <w:t xml:space="preserve">Требования к оформлению отчета по самостоятельной работе </w:t>
      </w:r>
    </w:p>
    <w:p>
      <w:pPr>
        <w:pStyle w:val="Normal"/>
        <w:tabs>
          <w:tab w:val="clear" w:pos="708"/>
          <w:tab w:val="left" w:pos="284" w:leader="none"/>
          <w:tab w:val="left" w:pos="993" w:leader="none"/>
        </w:tabs>
        <w:ind w:firstLine="567"/>
        <w:jc w:val="both"/>
        <w:rPr/>
      </w:pPr>
      <w:r>
        <w:rPr>
          <w:sz w:val="24"/>
          <w:szCs w:val="24"/>
          <w:lang w:eastAsia="ru-RU"/>
        </w:rPr>
        <w:t xml:space="preserve">Текст должен быть набран в редакторе Microsoft Word версий  97-2007 и позднее и распечатан на компьютере на одной стороне стандартного листа белой бумаги форматом А4 (210 на 297мм). </w:t>
      </w:r>
    </w:p>
    <w:p>
      <w:pPr>
        <w:pStyle w:val="Normal"/>
        <w:tabs>
          <w:tab w:val="clear" w:pos="708"/>
          <w:tab w:val="left" w:pos="284" w:leader="none"/>
          <w:tab w:val="left" w:pos="993" w:leader="none"/>
        </w:tabs>
        <w:ind w:firstLine="567"/>
        <w:jc w:val="both"/>
        <w:rPr/>
      </w:pPr>
      <w:r>
        <w:rPr>
          <w:sz w:val="24"/>
          <w:szCs w:val="24"/>
          <w:lang w:eastAsia="ru-RU"/>
        </w:rPr>
        <w:t xml:space="preserve">Основной текст: шрифт Times New Roman - 14, без переноса слов, междустрочный интер-вал полуторный, выравнивание по ширине. </w:t>
      </w:r>
    </w:p>
    <w:p>
      <w:pPr>
        <w:pStyle w:val="Normal"/>
        <w:tabs>
          <w:tab w:val="clear" w:pos="708"/>
          <w:tab w:val="left" w:pos="284" w:leader="none"/>
          <w:tab w:val="left" w:pos="993" w:leader="none"/>
        </w:tabs>
        <w:ind w:firstLine="567"/>
        <w:jc w:val="both"/>
        <w:rPr/>
      </w:pPr>
      <w:r>
        <w:rPr>
          <w:sz w:val="24"/>
          <w:szCs w:val="24"/>
          <w:lang w:eastAsia="ru-RU"/>
        </w:rPr>
        <w:t xml:space="preserve">Поля: слева - 3 см, сверху – 2 см, справа - 2 см, внизу - 2 см, абзацный отступ – 1,25 см. </w:t>
      </w:r>
    </w:p>
    <w:p>
      <w:pPr>
        <w:pStyle w:val="Normal"/>
        <w:ind w:firstLine="567"/>
        <w:jc w:val="both"/>
        <w:rPr/>
      </w:pPr>
      <w:r>
        <w:rPr>
          <w:color w:val="000000"/>
          <w:sz w:val="24"/>
          <w:szCs w:val="24"/>
        </w:rPr>
        <w:t>Титульный лист приведен в приложении.</w:t>
      </w:r>
    </w:p>
    <w:p>
      <w:pPr>
        <w:pStyle w:val="Normal"/>
        <w:ind w:firstLine="567"/>
        <w:jc w:val="both"/>
        <w:rPr>
          <w:b/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</w:r>
    </w:p>
    <w:p>
      <w:pPr>
        <w:pStyle w:val="Normal"/>
        <w:tabs>
          <w:tab w:val="clear" w:pos="708"/>
          <w:tab w:val="left" w:pos="993" w:leader="none"/>
        </w:tabs>
        <w:ind w:firstLine="567"/>
        <w:jc w:val="both"/>
        <w:rPr/>
      </w:pPr>
      <w:r>
        <w:rPr>
          <w:b/>
          <w:i/>
          <w:color w:val="000000"/>
          <w:sz w:val="24"/>
          <w:szCs w:val="24"/>
        </w:rPr>
        <w:t>Критерии оценивания внеаудиторной самостоятельной работы по МДК 02.02 Учет кредитных операций</w:t>
      </w:r>
    </w:p>
    <w:p>
      <w:pPr>
        <w:pStyle w:val="Normal"/>
        <w:tabs>
          <w:tab w:val="clear" w:pos="708"/>
          <w:tab w:val="left" w:pos="993" w:leader="none"/>
        </w:tabs>
        <w:ind w:firstLine="567"/>
        <w:jc w:val="both"/>
        <w:rPr>
          <w:b/>
          <w:b/>
          <w:i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</w:r>
    </w:p>
    <w:tbl>
      <w:tblPr>
        <w:tblW w:w="9332" w:type="dxa"/>
        <w:jc w:val="left"/>
        <w:tblInd w:w="27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0"/>
        <w:gridCol w:w="1984"/>
        <w:gridCol w:w="2"/>
        <w:gridCol w:w="6816"/>
      </w:tblGrid>
      <w:tr>
        <w:trPr/>
        <w:tc>
          <w:tcPr>
            <w:tcW w:w="2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Оценка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Характеристика критерия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«отлично»</w:t>
            </w:r>
          </w:p>
        </w:tc>
        <w:tc>
          <w:tcPr>
            <w:tcW w:w="6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Оформление соответствует требованиям. Задача решена  полностью, логично, с пояснениями.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«хорошо»</w:t>
            </w:r>
          </w:p>
        </w:tc>
        <w:tc>
          <w:tcPr>
            <w:tcW w:w="6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Оформление частично соответствует требованиям. Задача решена не полностью. 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6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Оформление не соответствует требованиям. Дано краткое изложение решения задачи, упущены существенные этапы решения </w:t>
            </w:r>
          </w:p>
        </w:tc>
      </w:tr>
    </w:tbl>
    <w:p>
      <w:pPr>
        <w:pStyle w:val="Normal"/>
        <w:tabs>
          <w:tab w:val="clear" w:pos="708"/>
          <w:tab w:val="left" w:pos="993" w:leader="none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left="720" w:hanging="0"/>
        <w:jc w:val="center"/>
        <w:rPr/>
      </w:pPr>
      <w:r>
        <w:rPr/>
      </w:r>
    </w:p>
    <w:sectPr>
      <w:footerReference w:type="default" r:id="rId5"/>
      <w:type w:val="continuous"/>
      <w:pgSz w:w="11906" w:h="16838"/>
      <w:pgMar w:left="1020" w:right="567" w:header="0" w:top="1134" w:footer="708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Style23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Style2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1145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656"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link w:val="656"/>
    <w:qFormat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2">
    <w:name w:val="Heading 2"/>
    <w:basedOn w:val="Normal"/>
    <w:link w:val="656"/>
    <w:qFormat/>
    <w:pPr>
      <w:keepNext w:val="tru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656"/>
    <w:uiPriority w:val="1"/>
    <w:semiHidden/>
    <w:unhideWhenUsed/>
    <w:qFormat/>
    <w:rPr/>
  </w:style>
  <w:style w:type="character" w:styleId="WW8Num1z0">
    <w:name w:val="WW8Num1z0"/>
    <w:link w:val="656"/>
    <w:qFormat/>
    <w:rPr/>
  </w:style>
  <w:style w:type="character" w:styleId="WW8Num1z1">
    <w:name w:val="WW8Num1z1"/>
    <w:link w:val="656"/>
    <w:qFormat/>
    <w:rPr/>
  </w:style>
  <w:style w:type="character" w:styleId="WW8Num1z2">
    <w:name w:val="WW8Num1z2"/>
    <w:link w:val="656"/>
    <w:qFormat/>
    <w:rPr/>
  </w:style>
  <w:style w:type="character" w:styleId="WW8Num1z3">
    <w:name w:val="WW8Num1z3"/>
    <w:link w:val="656"/>
    <w:qFormat/>
    <w:rPr/>
  </w:style>
  <w:style w:type="character" w:styleId="WW8Num1z4">
    <w:name w:val="WW8Num1z4"/>
    <w:link w:val="656"/>
    <w:qFormat/>
    <w:rPr/>
  </w:style>
  <w:style w:type="character" w:styleId="WW8Num1z5">
    <w:name w:val="WW8Num1z5"/>
    <w:link w:val="656"/>
    <w:qFormat/>
    <w:rPr/>
  </w:style>
  <w:style w:type="character" w:styleId="WW8Num1z6">
    <w:name w:val="WW8Num1z6"/>
    <w:link w:val="656"/>
    <w:qFormat/>
    <w:rPr/>
  </w:style>
  <w:style w:type="character" w:styleId="WW8Num1z7">
    <w:name w:val="WW8Num1z7"/>
    <w:link w:val="656"/>
    <w:qFormat/>
    <w:rPr/>
  </w:style>
  <w:style w:type="character" w:styleId="WW8Num1z8">
    <w:name w:val="WW8Num1z8"/>
    <w:link w:val="656"/>
    <w:qFormat/>
    <w:rPr/>
  </w:style>
  <w:style w:type="character" w:styleId="WW8Num2z0">
    <w:name w:val="WW8Num2z0"/>
    <w:link w:val="656"/>
    <w:qFormat/>
    <w:rPr>
      <w:rFonts w:ascii="Times New Roman" w:hAnsi="Times New Roman" w:cs="Times New Roman"/>
      <w:sz w:val="28"/>
      <w:szCs w:val="28"/>
      <w:lang w:val="ru-RU"/>
    </w:rPr>
  </w:style>
  <w:style w:type="character" w:styleId="WW8Num3z0">
    <w:name w:val="WW8Num3z0"/>
    <w:link w:val="656"/>
    <w:qFormat/>
    <w:rPr>
      <w:sz w:val="24"/>
      <w:szCs w:val="24"/>
    </w:rPr>
  </w:style>
  <w:style w:type="character" w:styleId="WW8Num4z0">
    <w:name w:val="WW8Num4z0"/>
    <w:link w:val="656"/>
    <w:qFormat/>
    <w:rPr>
      <w:rFonts w:ascii="Times New Roman" w:hAnsi="Times New Roman" w:cs="Times New Roman"/>
    </w:rPr>
  </w:style>
  <w:style w:type="character" w:styleId="WW8Num4z1">
    <w:name w:val="WW8Num4z1"/>
    <w:link w:val="656"/>
    <w:qFormat/>
    <w:rPr/>
  </w:style>
  <w:style w:type="character" w:styleId="WW8Num4z2">
    <w:name w:val="WW8Num4z2"/>
    <w:link w:val="656"/>
    <w:qFormat/>
    <w:rPr/>
  </w:style>
  <w:style w:type="character" w:styleId="WW8Num4z3">
    <w:name w:val="WW8Num4z3"/>
    <w:link w:val="656"/>
    <w:qFormat/>
    <w:rPr/>
  </w:style>
  <w:style w:type="character" w:styleId="WW8Num4z4">
    <w:name w:val="WW8Num4z4"/>
    <w:link w:val="656"/>
    <w:qFormat/>
    <w:rPr/>
  </w:style>
  <w:style w:type="character" w:styleId="WW8Num4z5">
    <w:name w:val="WW8Num4z5"/>
    <w:link w:val="656"/>
    <w:qFormat/>
    <w:rPr/>
  </w:style>
  <w:style w:type="character" w:styleId="WW8Num4z6">
    <w:name w:val="WW8Num4z6"/>
    <w:link w:val="656"/>
    <w:qFormat/>
    <w:rPr/>
  </w:style>
  <w:style w:type="character" w:styleId="WW8Num4z7">
    <w:name w:val="WW8Num4z7"/>
    <w:link w:val="656"/>
    <w:qFormat/>
    <w:rPr/>
  </w:style>
  <w:style w:type="character" w:styleId="WW8Num4z8">
    <w:name w:val="WW8Num4z8"/>
    <w:link w:val="656"/>
    <w:qFormat/>
    <w:rPr/>
  </w:style>
  <w:style w:type="character" w:styleId="WW8Num5z0">
    <w:name w:val="WW8Num5z0"/>
    <w:link w:val="656"/>
    <w:qFormat/>
    <w:rPr>
      <w:rFonts w:ascii="Symbol" w:hAnsi="Symbol" w:cs="Symbol"/>
      <w:sz w:val="24"/>
      <w:szCs w:val="24"/>
    </w:rPr>
  </w:style>
  <w:style w:type="character" w:styleId="WW8Num5z1">
    <w:name w:val="WW8Num5z1"/>
    <w:link w:val="656"/>
    <w:qFormat/>
    <w:rPr/>
  </w:style>
  <w:style w:type="character" w:styleId="WW8Num5z2">
    <w:name w:val="WW8Num5z2"/>
    <w:link w:val="656"/>
    <w:qFormat/>
    <w:rPr/>
  </w:style>
  <w:style w:type="character" w:styleId="WW8Num5z3">
    <w:name w:val="WW8Num5z3"/>
    <w:link w:val="656"/>
    <w:qFormat/>
    <w:rPr/>
  </w:style>
  <w:style w:type="character" w:styleId="WW8Num5z4">
    <w:name w:val="WW8Num5z4"/>
    <w:link w:val="656"/>
    <w:qFormat/>
    <w:rPr/>
  </w:style>
  <w:style w:type="character" w:styleId="WW8Num5z5">
    <w:name w:val="WW8Num5z5"/>
    <w:link w:val="656"/>
    <w:qFormat/>
    <w:rPr/>
  </w:style>
  <w:style w:type="character" w:styleId="WW8Num5z6">
    <w:name w:val="WW8Num5z6"/>
    <w:link w:val="656"/>
    <w:qFormat/>
    <w:rPr/>
  </w:style>
  <w:style w:type="character" w:styleId="WW8Num5z7">
    <w:name w:val="WW8Num5z7"/>
    <w:link w:val="656"/>
    <w:qFormat/>
    <w:rPr/>
  </w:style>
  <w:style w:type="character" w:styleId="WW8Num5z8">
    <w:name w:val="WW8Num5z8"/>
    <w:link w:val="656"/>
    <w:qFormat/>
    <w:rPr/>
  </w:style>
  <w:style w:type="character" w:styleId="WW8Num6z0">
    <w:name w:val="WW8Num6z0"/>
    <w:link w:val="656"/>
    <w:qFormat/>
    <w:rPr>
      <w:rFonts w:ascii="Symbol" w:hAnsi="Symbol" w:cs="Symbol"/>
      <w:sz w:val="24"/>
      <w:szCs w:val="24"/>
    </w:rPr>
  </w:style>
  <w:style w:type="character" w:styleId="WW8Num6z1">
    <w:name w:val="WW8Num6z1"/>
    <w:link w:val="656"/>
    <w:qFormat/>
    <w:rPr/>
  </w:style>
  <w:style w:type="character" w:styleId="WW8Num6z2">
    <w:name w:val="WW8Num6z2"/>
    <w:link w:val="656"/>
    <w:qFormat/>
    <w:rPr/>
  </w:style>
  <w:style w:type="character" w:styleId="WW8Num6z3">
    <w:name w:val="WW8Num6z3"/>
    <w:link w:val="656"/>
    <w:qFormat/>
    <w:rPr/>
  </w:style>
  <w:style w:type="character" w:styleId="WW8Num6z4">
    <w:name w:val="WW8Num6z4"/>
    <w:link w:val="656"/>
    <w:qFormat/>
    <w:rPr/>
  </w:style>
  <w:style w:type="character" w:styleId="WW8Num6z5">
    <w:name w:val="WW8Num6z5"/>
    <w:link w:val="656"/>
    <w:qFormat/>
    <w:rPr/>
  </w:style>
  <w:style w:type="character" w:styleId="WW8Num6z6">
    <w:name w:val="WW8Num6z6"/>
    <w:link w:val="656"/>
    <w:qFormat/>
    <w:rPr/>
  </w:style>
  <w:style w:type="character" w:styleId="WW8Num6z7">
    <w:name w:val="WW8Num6z7"/>
    <w:link w:val="656"/>
    <w:qFormat/>
    <w:rPr/>
  </w:style>
  <w:style w:type="character" w:styleId="WW8Num6z8">
    <w:name w:val="WW8Num6z8"/>
    <w:link w:val="656"/>
    <w:qFormat/>
    <w:rPr/>
  </w:style>
  <w:style w:type="character" w:styleId="WW8Num7z0">
    <w:name w:val="WW8Num7z0"/>
    <w:link w:val="656"/>
    <w:qFormat/>
    <w:rPr>
      <w:rFonts w:ascii="Times New Roman" w:hAnsi="Times New Roman" w:cs="Times New Roman"/>
    </w:rPr>
  </w:style>
  <w:style w:type="character" w:styleId="WW8Num8z0">
    <w:name w:val="WW8Num8z0"/>
    <w:link w:val="656"/>
    <w:qFormat/>
    <w:rPr>
      <w:b/>
      <w:sz w:val="24"/>
      <w:szCs w:val="24"/>
    </w:rPr>
  </w:style>
  <w:style w:type="character" w:styleId="WW8Num8z1">
    <w:name w:val="WW8Num8z1"/>
    <w:link w:val="656"/>
    <w:qFormat/>
    <w:rPr/>
  </w:style>
  <w:style w:type="character" w:styleId="WW8Num8z2">
    <w:name w:val="WW8Num8z2"/>
    <w:link w:val="656"/>
    <w:qFormat/>
    <w:rPr/>
  </w:style>
  <w:style w:type="character" w:styleId="WW8Num8z3">
    <w:name w:val="WW8Num8z3"/>
    <w:link w:val="656"/>
    <w:qFormat/>
    <w:rPr/>
  </w:style>
  <w:style w:type="character" w:styleId="WW8Num8z4">
    <w:name w:val="WW8Num8z4"/>
    <w:link w:val="656"/>
    <w:qFormat/>
    <w:rPr/>
  </w:style>
  <w:style w:type="character" w:styleId="WW8Num8z5">
    <w:name w:val="WW8Num8z5"/>
    <w:link w:val="656"/>
    <w:qFormat/>
    <w:rPr/>
  </w:style>
  <w:style w:type="character" w:styleId="WW8Num8z6">
    <w:name w:val="WW8Num8z6"/>
    <w:link w:val="656"/>
    <w:qFormat/>
    <w:rPr/>
  </w:style>
  <w:style w:type="character" w:styleId="WW8Num8z7">
    <w:name w:val="WW8Num8z7"/>
    <w:link w:val="656"/>
    <w:qFormat/>
    <w:rPr/>
  </w:style>
  <w:style w:type="character" w:styleId="WW8Num8z8">
    <w:name w:val="WW8Num8z8"/>
    <w:link w:val="656"/>
    <w:qFormat/>
    <w:rPr/>
  </w:style>
  <w:style w:type="character" w:styleId="31">
    <w:name w:val="Основной шрифт абзаца3"/>
    <w:link w:val="656"/>
    <w:qFormat/>
    <w:rPr/>
  </w:style>
  <w:style w:type="character" w:styleId="21">
    <w:name w:val="Основной шрифт абзаца2"/>
    <w:link w:val="656"/>
    <w:qFormat/>
    <w:rPr/>
  </w:style>
  <w:style w:type="character" w:styleId="WW8Num7z1">
    <w:name w:val="WW8Num7z1"/>
    <w:link w:val="656"/>
    <w:qFormat/>
    <w:rPr>
      <w:rFonts w:ascii="Symbol" w:hAnsi="Symbol" w:cs="Symbol"/>
      <w:sz w:val="28"/>
      <w:szCs w:val="28"/>
    </w:rPr>
  </w:style>
  <w:style w:type="character" w:styleId="WW8Num7z2">
    <w:name w:val="WW8Num7z2"/>
    <w:link w:val="656"/>
    <w:qFormat/>
    <w:rPr/>
  </w:style>
  <w:style w:type="character" w:styleId="WW8Num7z3">
    <w:name w:val="WW8Num7z3"/>
    <w:link w:val="656"/>
    <w:qFormat/>
    <w:rPr/>
  </w:style>
  <w:style w:type="character" w:styleId="WW8Num7z4">
    <w:name w:val="WW8Num7z4"/>
    <w:link w:val="656"/>
    <w:qFormat/>
    <w:rPr/>
  </w:style>
  <w:style w:type="character" w:styleId="WW8Num7z5">
    <w:name w:val="WW8Num7z5"/>
    <w:link w:val="656"/>
    <w:qFormat/>
    <w:rPr/>
  </w:style>
  <w:style w:type="character" w:styleId="WW8Num7z6">
    <w:name w:val="WW8Num7z6"/>
    <w:link w:val="656"/>
    <w:qFormat/>
    <w:rPr/>
  </w:style>
  <w:style w:type="character" w:styleId="WW8Num7z7">
    <w:name w:val="WW8Num7z7"/>
    <w:link w:val="656"/>
    <w:qFormat/>
    <w:rPr/>
  </w:style>
  <w:style w:type="character" w:styleId="WW8Num7z8">
    <w:name w:val="WW8Num7z8"/>
    <w:link w:val="656"/>
    <w:qFormat/>
    <w:rPr/>
  </w:style>
  <w:style w:type="character" w:styleId="WW8Num9z0">
    <w:name w:val="WW8Num9z0"/>
    <w:link w:val="656"/>
    <w:qFormat/>
    <w:rPr>
      <w:rFonts w:ascii="Symbol" w:hAnsi="Symbol" w:cs="Symbol"/>
    </w:rPr>
  </w:style>
  <w:style w:type="character" w:styleId="WW8Num10z0">
    <w:name w:val="WW8Num10z0"/>
    <w:link w:val="656"/>
    <w:qFormat/>
    <w:rPr>
      <w:rFonts w:ascii="Symbol" w:hAnsi="Symbol" w:cs="Symbol"/>
    </w:rPr>
  </w:style>
  <w:style w:type="character" w:styleId="WW8Num2z1">
    <w:name w:val="WW8Num2z1"/>
    <w:link w:val="656"/>
    <w:qFormat/>
    <w:rPr>
      <w:rFonts w:ascii="Courier New" w:hAnsi="Courier New" w:cs="Courier New"/>
    </w:rPr>
  </w:style>
  <w:style w:type="character" w:styleId="WW8Num2z2">
    <w:name w:val="WW8Num2z2"/>
    <w:link w:val="656"/>
    <w:qFormat/>
    <w:rPr>
      <w:rFonts w:ascii="Wingdings" w:hAnsi="Wingdings" w:cs="Wingdings"/>
    </w:rPr>
  </w:style>
  <w:style w:type="character" w:styleId="WW8Num3z1">
    <w:name w:val="WW8Num3z1"/>
    <w:link w:val="656"/>
    <w:qFormat/>
    <w:rPr>
      <w:rFonts w:ascii="Courier New" w:hAnsi="Courier New" w:cs="Courier New"/>
    </w:rPr>
  </w:style>
  <w:style w:type="character" w:styleId="WW8Num3z2">
    <w:name w:val="WW8Num3z2"/>
    <w:link w:val="656"/>
    <w:qFormat/>
    <w:rPr>
      <w:rFonts w:ascii="Wingdings" w:hAnsi="Wingdings" w:cs="Wingdings"/>
    </w:rPr>
  </w:style>
  <w:style w:type="character" w:styleId="WW8Num9z1">
    <w:name w:val="WW8Num9z1"/>
    <w:link w:val="656"/>
    <w:qFormat/>
    <w:rPr>
      <w:rFonts w:ascii="Courier New" w:hAnsi="Courier New" w:cs="Courier New"/>
    </w:rPr>
  </w:style>
  <w:style w:type="character" w:styleId="WW8Num9z2">
    <w:name w:val="WW8Num9z2"/>
    <w:link w:val="656"/>
    <w:qFormat/>
    <w:rPr>
      <w:rFonts w:ascii="Wingdings" w:hAnsi="Wingdings" w:cs="Wingdings"/>
    </w:rPr>
  </w:style>
  <w:style w:type="character" w:styleId="WW8Num10z1">
    <w:name w:val="WW8Num10z1"/>
    <w:link w:val="656"/>
    <w:qFormat/>
    <w:rPr>
      <w:rFonts w:ascii="Courier New" w:hAnsi="Courier New" w:cs="Courier New"/>
    </w:rPr>
  </w:style>
  <w:style w:type="character" w:styleId="WW8Num10z2">
    <w:name w:val="WW8Num10z2"/>
    <w:link w:val="656"/>
    <w:qFormat/>
    <w:rPr>
      <w:rFonts w:ascii="Wingdings" w:hAnsi="Wingdings" w:cs="Wingdings"/>
    </w:rPr>
  </w:style>
  <w:style w:type="character" w:styleId="11">
    <w:name w:val="Основной шрифт абзаца1"/>
    <w:link w:val="656"/>
    <w:qFormat/>
    <w:rPr/>
  </w:style>
  <w:style w:type="character" w:styleId="12">
    <w:name w:val="Заголовок 1 Знак"/>
    <w:link w:val="656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Style9">
    <w:name w:val="Верхний колонтитул Знак"/>
    <w:link w:val="656"/>
    <w:qFormat/>
    <w:rPr>
      <w:rFonts w:ascii="Times New Roman" w:hAnsi="Times New Roman" w:eastAsia="Times New Roman" w:cs="Times New Roman"/>
    </w:rPr>
  </w:style>
  <w:style w:type="character" w:styleId="Style10">
    <w:name w:val="Нижний колонтитул Знак"/>
    <w:link w:val="656"/>
    <w:qFormat/>
    <w:rPr>
      <w:rFonts w:ascii="Times New Roman" w:hAnsi="Times New Roman" w:eastAsia="Times New Roman" w:cs="Times New Roman"/>
    </w:rPr>
  </w:style>
  <w:style w:type="character" w:styleId="Style11">
    <w:name w:val="Гиперссылка"/>
    <w:link w:val="656"/>
    <w:qFormat/>
    <w:rPr>
      <w:color w:val="0000FF"/>
      <w:u w:val="single"/>
    </w:rPr>
  </w:style>
  <w:style w:type="character" w:styleId="22">
    <w:name w:val="Заголовок 2 Знак"/>
    <w:link w:val="656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23">
    <w:name w:val="Основной текст 2 Знак"/>
    <w:link w:val="656"/>
    <w:qFormat/>
    <w:rPr>
      <w:lang w:eastAsia="zh-CN"/>
    </w:rPr>
  </w:style>
  <w:style w:type="character" w:styleId="Style12">
    <w:name w:val="Подзаголовок Знак"/>
    <w:link w:val="656"/>
    <w:qFormat/>
    <w:rPr>
      <w:rFonts w:ascii="Cambria" w:hAnsi="Cambria" w:cs="Cambria"/>
      <w:sz w:val="24"/>
      <w:szCs w:val="24"/>
      <w:lang w:val="en-US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Ссылка указателя"/>
    <w:qFormat/>
    <w:rPr/>
  </w:style>
  <w:style w:type="paragraph" w:styleId="Style14">
    <w:name w:val="Заголовок"/>
    <w:basedOn w:val="Normal"/>
    <w:next w:val="Style15"/>
    <w:link w:val="65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link w:val="656"/>
    <w:pPr>
      <w:spacing w:lineRule="auto" w:line="276" w:before="0" w:after="140"/>
    </w:pPr>
    <w:rPr/>
  </w:style>
  <w:style w:type="paragraph" w:styleId="Style16">
    <w:name w:val="List"/>
    <w:basedOn w:val="Style15"/>
    <w:link w:val="656"/>
    <w:pPr/>
    <w:rPr>
      <w:rFonts w:cs="Mangal"/>
    </w:rPr>
  </w:style>
  <w:style w:type="paragraph" w:styleId="Style17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8">
    <w:name w:val="Указатель"/>
    <w:basedOn w:val="Style14"/>
    <w:link w:val="656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Style19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0">
    <w:name w:val="Subtitle"/>
    <w:basedOn w:val="Normal"/>
    <w:link w:val="656"/>
    <w:qFormat/>
    <w:pPr>
      <w:spacing w:before="0" w:after="60"/>
      <w:jc w:val="center"/>
    </w:pPr>
    <w:rPr>
      <w:rFonts w:ascii="Cambria" w:hAnsi="Cambria" w:cs="Cambria"/>
      <w:sz w:val="24"/>
      <w:szCs w:val="24"/>
      <w:lang w:val="en-US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1">
    <w:name w:val="Верхний и нижний колонтитулы"/>
    <w:basedOn w:val="Normal"/>
    <w:link w:val="656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link w:val="6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6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5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3">
    <w:name w:val="TOC 1"/>
    <w:basedOn w:val="Normal"/>
    <w:link w:val="656"/>
    <w:pPr/>
    <w:rPr/>
  </w:style>
  <w:style w:type="paragraph" w:styleId="24">
    <w:name w:val="TOC 2"/>
    <w:basedOn w:val="Normal"/>
    <w:link w:val="656"/>
    <w:pPr>
      <w:ind w:left="200" w:right="0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6">
    <w:name w:val="Название объекта"/>
    <w:basedOn w:val="Normal"/>
    <w:link w:val="656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3">
    <w:name w:val="Указатель3"/>
    <w:basedOn w:val="Normal"/>
    <w:link w:val="656"/>
    <w:qFormat/>
    <w:pPr>
      <w:suppressLineNumbers/>
    </w:pPr>
    <w:rPr>
      <w:rFonts w:cs="Lucida Sans"/>
    </w:rPr>
  </w:style>
  <w:style w:type="paragraph" w:styleId="25">
    <w:name w:val="Название объекта2"/>
    <w:basedOn w:val="Normal"/>
    <w:link w:val="656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6">
    <w:name w:val="Указатель2"/>
    <w:basedOn w:val="Normal"/>
    <w:link w:val="656"/>
    <w:qFormat/>
    <w:pPr>
      <w:suppressLineNumbers/>
    </w:pPr>
    <w:rPr>
      <w:rFonts w:cs="Mangal"/>
    </w:rPr>
  </w:style>
  <w:style w:type="paragraph" w:styleId="14">
    <w:name w:val="Название объекта1"/>
    <w:basedOn w:val="Normal"/>
    <w:link w:val="656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5">
    <w:name w:val="Указатель1"/>
    <w:basedOn w:val="Normal"/>
    <w:link w:val="656"/>
    <w:qFormat/>
    <w:pPr>
      <w:suppressLineNumbers/>
    </w:pPr>
    <w:rPr>
      <w:rFonts w:cs="Mangal"/>
    </w:rPr>
  </w:style>
  <w:style w:type="paragraph" w:styleId="Style27">
    <w:name w:val="Абзац списка"/>
    <w:basedOn w:val="Normal"/>
    <w:link w:val="656"/>
    <w:qFormat/>
    <w:pPr>
      <w:spacing w:before="0" w:after="0"/>
      <w:ind w:left="720" w:right="0" w:hanging="0"/>
      <w:contextualSpacing/>
    </w:pPr>
    <w:rPr/>
  </w:style>
  <w:style w:type="paragraph" w:styleId="16">
    <w:name w:val="Заголовок таблицы ссылок1"/>
    <w:basedOn w:val="1"/>
    <w:link w:val="656"/>
    <w:qFormat/>
    <w:pPr>
      <w:spacing w:lineRule="auto" w:line="276"/>
      <w:ind w:left="0" w:right="0" w:hanging="0"/>
    </w:pPr>
    <w:rPr>
      <w:rFonts w:ascii="Cambria" w:hAnsi="Cambria" w:eastAsia="Times New Roman" w:cs="Times New Roman"/>
      <w:color w:val="365F91"/>
    </w:rPr>
  </w:style>
  <w:style w:type="paragraph" w:styleId="Style28">
    <w:name w:val="Обычный (веб)"/>
    <w:basedOn w:val="Normal"/>
    <w:link w:val="656"/>
    <w:qFormat/>
    <w:pPr>
      <w:spacing w:before="280" w:after="280"/>
    </w:pPr>
    <w:rPr>
      <w:sz w:val="24"/>
      <w:szCs w:val="24"/>
    </w:rPr>
  </w:style>
  <w:style w:type="paragraph" w:styleId="Style29">
    <w:name w:val="Содержимое таблицы"/>
    <w:basedOn w:val="Normal"/>
    <w:link w:val="656"/>
    <w:qFormat/>
    <w:pPr>
      <w:suppressLineNumbers/>
    </w:pPr>
    <w:rPr/>
  </w:style>
  <w:style w:type="paragraph" w:styleId="Style30">
    <w:name w:val="Заголовок таблицы"/>
    <w:basedOn w:val="Style29"/>
    <w:link w:val="656"/>
    <w:qFormat/>
    <w:pPr>
      <w:suppressLineNumbers/>
      <w:jc w:val="center"/>
    </w:pPr>
    <w:rPr>
      <w:b/>
      <w:bCs/>
    </w:rPr>
  </w:style>
  <w:style w:type="paragraph" w:styleId="Style31">
    <w:name w:val="Стиль"/>
    <w:link w:val="656"/>
    <w:qFormat/>
    <w:pPr>
      <w:widowControl w:val="false"/>
      <w:bidi w:val="0"/>
      <w:jc w:val="left"/>
    </w:pPr>
    <w:rPr>
      <w:rFonts w:ascii="Calibri" w:hAnsi="Calibri" w:eastAsia="NSimSun" w:cs="Mangal"/>
      <w:color w:val="auto"/>
      <w:kern w:val="0"/>
      <w:sz w:val="24"/>
      <w:szCs w:val="24"/>
      <w:lang w:val="ru-RU" w:eastAsia="zh-CN" w:bidi="ar-SA"/>
    </w:rPr>
  </w:style>
  <w:style w:type="paragraph" w:styleId="211">
    <w:name w:val="Основной текст 21"/>
    <w:basedOn w:val="Normal"/>
    <w:link w:val="656"/>
    <w:qFormat/>
    <w:pPr>
      <w:spacing w:lineRule="auto" w:line="480" w:before="0" w:after="120"/>
    </w:pPr>
    <w:rPr/>
  </w:style>
  <w:style w:type="paragraph" w:styleId="17">
    <w:name w:val="1"/>
    <w:basedOn w:val="Normal"/>
    <w:link w:val="656"/>
    <w:qFormat/>
    <w:pPr>
      <w:jc w:val="center"/>
    </w:pPr>
    <w:rPr>
      <w:b/>
      <w:bCs/>
      <w:sz w:val="28"/>
      <w:szCs w:val="28"/>
    </w:rPr>
  </w:style>
  <w:style w:type="paragraph" w:styleId="ConsPlusNormal">
    <w:name w:val="ConsPlusNormal"/>
    <w:link w:val="656"/>
    <w:qFormat/>
    <w:pPr>
      <w:widowControl w:val="false"/>
      <w:bidi w:val="0"/>
      <w:jc w:val="left"/>
    </w:pPr>
    <w:rPr>
      <w:rFonts w:ascii="Arial" w:hAnsi="Arial" w:eastAsia="NSimSun" w:cs="Arial"/>
      <w:color w:val="auto"/>
      <w:kern w:val="0"/>
      <w:sz w:val="20"/>
      <w:szCs w:val="20"/>
      <w:lang w:val="ru-RU" w:eastAsia="zh-CN" w:bidi="ar-SA"/>
    </w:rPr>
  </w:style>
  <w:style w:type="numbering" w:styleId="Style32">
    <w:name w:val="Нет списка"/>
    <w:link w:val="656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LibreOffice/6.3.2.2$Windows_x86 LibreOffice_project/98b30e735bda24bc04ab42594c85f7fd8be07b9c</Application>
  <Pages>10</Pages>
  <Words>1994</Words>
  <Characters>14257</Characters>
  <CharactersWithSpaces>15950</CharactersWithSpaces>
  <Paragraphs>240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2022-09-07T16:19:00Z</dcterms:created>
  <dc:creator>Пользователь Windows</dc:creator>
  <dc:description/>
  <dc:language>ru-RU</dc:language>
  <cp:lastModifiedBy/>
  <dcterms:modified xsi:type="dcterms:W3CDTF">2025-03-04T10:53:53Z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Microsoft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  <property fmtid="{D5CDD505-2E9C-101B-9397-08002B2CF9AE}" pid="7" name="version">
    <vt:lpwstr>1048576</vt:lpwstr>
  </property>
</Properties>
</file>