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>ДЕПАРТАМЕНТ ОБРАЗОВАНИЯ ВОЛОГОДСКОЙ ОБЛАСТИ</w:t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>БПОУ  ВО «ВОЛОГОДСКИЙ АГРАРНО – ЭКОНОМИЧЕСКИЙ КОЛЛЕДЖ»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</w:r>
    </w:p>
    <w:p>
      <w:pPr>
        <w:pStyle w:val="Normal"/>
        <w:widowControl w:val="false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</w:r>
    </w:p>
    <w:p>
      <w:pPr>
        <w:pStyle w:val="Normal"/>
        <w:widowControl w:val="false"/>
        <w:jc w:val="both"/>
        <w:rPr>
          <w:vertAlign w:val="superscript"/>
        </w:rPr>
      </w:pPr>
      <w:r>
        <w:rPr>
          <w:vertAlign w:val="superscript"/>
        </w:rPr>
      </w:r>
    </w:p>
    <w:p>
      <w:pPr>
        <w:pStyle w:val="Normal"/>
        <w:widowControl w:val="false"/>
        <w:jc w:val="both"/>
        <w:rPr>
          <w:b/>
          <w:b/>
          <w:vertAlign w:val="superscript"/>
        </w:rPr>
      </w:pPr>
      <w:r>
        <w:rPr>
          <w:b/>
          <w:vertAlign w:val="superscript"/>
        </w:rPr>
      </w:r>
    </w:p>
    <w:p>
      <w:pPr>
        <w:pStyle w:val="Normal"/>
        <w:widowControl w:val="false"/>
        <w:jc w:val="both"/>
        <w:rPr>
          <w:b/>
          <w:b/>
          <w:vertAlign w:val="subscript"/>
        </w:rPr>
      </w:pPr>
      <w:r>
        <w:rPr>
          <w:b/>
          <w:vertAlign w:val="subscript"/>
        </w:rPr>
      </w:r>
    </w:p>
    <w:p>
      <w:pPr>
        <w:pStyle w:val="Normal"/>
        <w:widowControl w:val="false"/>
        <w:jc w:val="right"/>
        <w:rPr>
          <w:caps/>
          <w:vertAlign w:val="subscript"/>
        </w:rPr>
      </w:pPr>
      <w:r>
        <w:rPr>
          <w:caps/>
          <w:vertAlign w:val="subscript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МЕТОДИЧЕСКИЕ УКАЗАНИЯ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 xml:space="preserve">ПО ВЫПОЛНЕНИЮ ВНЕАУДИТОРНОЙ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САМОСТОЯТЕЛЬНОЙ РАБОТЫ</w:t>
      </w:r>
    </w:p>
    <w:p>
      <w:pPr>
        <w:pStyle w:val="Normal"/>
        <w:keepNext w:val="true"/>
        <w:numPr>
          <w:ilvl w:val="0"/>
          <w:numId w:val="0"/>
        </w:numPr>
        <w:jc w:val="center"/>
        <w:outlineLvl w:val="3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ПО УЧЕБНОЙ ДИСЦИПЛИНЕ</w:t>
      </w:r>
    </w:p>
    <w:p>
      <w:pPr>
        <w:pStyle w:val="Normal"/>
        <w:keepNext w:val="true"/>
        <w:numPr>
          <w:ilvl w:val="0"/>
          <w:numId w:val="0"/>
        </w:numPr>
        <w:jc w:val="center"/>
        <w:outlineLvl w:val="3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ОП 08 Страхование</w:t>
      </w:r>
    </w:p>
    <w:p>
      <w:pPr>
        <w:pStyle w:val="Normal"/>
        <w:jc w:val="center"/>
        <w:rPr/>
      </w:pPr>
      <w:r>
        <w:rPr>
          <w:sz w:val="28"/>
          <w:szCs w:val="28"/>
        </w:rPr>
        <w:t>По специальности СПО 38.02.02 Банковское дело</w:t>
      </w:r>
    </w:p>
    <w:p>
      <w:pPr>
        <w:pStyle w:val="Normal"/>
        <w:jc w:val="center"/>
        <w:rPr/>
      </w:pPr>
      <w:r>
        <w:rPr>
          <w:sz w:val="28"/>
          <w:szCs w:val="28"/>
        </w:rPr>
        <w:t>Квалификация «Специалист банковского дела»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keepNext w:val="true"/>
        <w:suppressLineNumbers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BodyTextIndent2"/>
        <w:tabs>
          <w:tab w:val="clear" w:pos="708"/>
          <w:tab w:val="left" w:pos="916" w:leader="none"/>
          <w:tab w:val="left" w:pos="1416" w:leader="none"/>
          <w:tab w:val="left" w:pos="2124" w:leader="none"/>
          <w:tab w:val="left" w:pos="2832" w:leader="none"/>
        </w:tabs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Вологда, 2024</w:t>
      </w:r>
    </w:p>
    <w:p>
      <w:pPr>
        <w:pStyle w:val="Normal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39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3"/>
        <w:gridCol w:w="4749"/>
      </w:tblGrid>
      <w:tr>
        <w:trPr/>
        <w:tc>
          <w:tcPr>
            <w:tcW w:w="46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Рассмотрено методической комиссией технических и экономических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Протокол №1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0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06.06.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2024 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Председатель МК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_______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542290" cy="285750"/>
                  <wp:effectExtent l="0" t="0" r="0" b="0"/>
                  <wp:docPr id="1" name="_x005F_x0000_i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14883" r="0" b="159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8"/>
                <w:szCs w:val="28"/>
                <w:lang w:eastAsia="en-US"/>
              </w:rPr>
              <w:t>___О.Б. Литвинова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</w:r>
          </w:p>
        </w:tc>
        <w:tc>
          <w:tcPr>
            <w:tcW w:w="47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 xml:space="preserve">Протокол № 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от </w:t>
            </w:r>
            <w:r>
              <w:rPr>
                <w:sz w:val="28"/>
              </w:rPr>
              <w:t>06</w:t>
            </w:r>
            <w:r>
              <w:rPr>
                <w:sz w:val="28"/>
              </w:rPr>
              <w:t>.0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bookmarkStart w:id="0" w:name="_GoBack2"/>
            <w:bookmarkEnd w:id="0"/>
            <w:r>
              <w:rPr>
                <w:rFonts w:eastAsia="Times New Roman"/>
                <w:sz w:val="28"/>
                <w:szCs w:val="28"/>
                <w:lang w:eastAsia="en-US"/>
              </w:rPr>
              <w:t xml:space="preserve">Председатель   НМС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Е.В. Вихарева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Автор – Н. А. Грибанова, преподаватель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предназначены для обучающихся специальности 38.02.07 Банковское дело и направлены на оказание практической помощи при выполнении внеаудиторной  самостоятельной работы по дисциплине </w:t>
      </w:r>
      <w:r>
        <w:rPr>
          <w:bCs/>
          <w:sz w:val="28"/>
          <w:szCs w:val="28"/>
          <w:lang w:eastAsia="ru-RU"/>
        </w:rPr>
        <w:t>«Страхование»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Введение. ………………………………………………………………………... 4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Цели, основные виды самостоятельной работы обучающихся………………. 5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Памятка для выполнения учебно-практических заданий. ………………… .. 10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sz w:val="28"/>
          <w:szCs w:val="28"/>
        </w:rPr>
        <w:t>Самостоятельная работа № 1</w:t>
      </w:r>
      <w:r>
        <w:rPr>
          <w:bCs/>
          <w:sz w:val="28"/>
          <w:szCs w:val="28"/>
        </w:rPr>
        <w:t xml:space="preserve"> Страховые фонды как экономическая категория общественного воспроизводства.……………………………………………….13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Самостоятельная работа № 2 Основные международные термины, применяемые в практике страхования.………………………………………...13</w:t>
      </w:r>
    </w:p>
    <w:p>
      <w:pPr>
        <w:pStyle w:val="Style61"/>
        <w:widowControl/>
        <w:spacing w:lineRule="auto" w:line="240"/>
        <w:ind w:hanging="0"/>
        <w:jc w:val="left"/>
        <w:rPr>
          <w:sz w:val="28"/>
          <w:szCs w:val="28"/>
        </w:rPr>
      </w:pPr>
      <w:r>
        <w:rPr>
          <w:sz w:val="28"/>
          <w:szCs w:val="28"/>
        </w:rPr>
        <w:t>Самостоятельная работа № 3 Страхование в системе методов управления риском.</w:t>
      </w:r>
      <w:r>
        <w:rPr>
          <w:rStyle w:val="FontStyle29"/>
          <w:sz w:val="28"/>
          <w:szCs w:val="28"/>
        </w:rPr>
        <w:t>……………………………………………………………………………13</w:t>
      </w:r>
    </w:p>
    <w:p>
      <w:pPr>
        <w:pStyle w:val="Normal"/>
        <w:ind w:right="-30" w:hanging="0"/>
        <w:rPr>
          <w:sz w:val="28"/>
          <w:szCs w:val="28"/>
        </w:rPr>
      </w:pPr>
      <w:r>
        <w:rPr>
          <w:sz w:val="28"/>
          <w:szCs w:val="28"/>
        </w:rPr>
        <w:t>Самостоятельная работа № 4</w:t>
      </w:r>
      <w:r>
        <w:rPr>
          <w:rStyle w:val="FontStyle29"/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Страховая компания как первичное звено страхового рынка. </w:t>
      </w:r>
      <w:r>
        <w:rPr>
          <w:rStyle w:val="FontStyle29"/>
          <w:sz w:val="28"/>
          <w:szCs w:val="28"/>
        </w:rPr>
        <w:t>………………….……………………………………………13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Самостоятельная работа № 5 Перспективы развития рынка страховых услуг России. …………………………………………………………………………...14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>Самостоятельная работа № 6 Антикризисное регулирование и банкротство страховых компаний……………..……………………………………………...14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№ 7 Страховое мошенничество и меры по его предупреждению. …………………..…………………………………………...14 </w:t>
      </w:r>
    </w:p>
    <w:p>
      <w:pPr>
        <w:pStyle w:val="Normal"/>
        <w:rPr/>
      </w:pPr>
      <w:r>
        <w:rPr>
          <w:sz w:val="28"/>
          <w:szCs w:val="28"/>
        </w:rPr>
        <w:t>Самостоятельная работа № 8 Особенности регулирования страховой деятельности в странах Европейского союза (ЕС)..…………………………..14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№ 9 </w:t>
      </w:r>
      <w:r>
        <w:rPr>
          <w:bCs/>
          <w:sz w:val="28"/>
          <w:szCs w:val="28"/>
        </w:rPr>
        <w:t xml:space="preserve">Социальная защита населения как система управления социальными рисками……………………………………………..14 </w:t>
      </w:r>
      <w:r>
        <w:rPr>
          <w:sz w:val="28"/>
          <w:szCs w:val="28"/>
        </w:rPr>
        <w:t>Самостоятельная работа № 10 Система выплат по социальному страхованию. …………………………………………………………………………………….15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Самостоятельная работа № 11 </w:t>
      </w:r>
      <w:r>
        <w:rPr>
          <w:bCs/>
          <w:sz w:val="28"/>
          <w:szCs w:val="28"/>
        </w:rPr>
        <w:t>Страхование грузов. Порядок проведения. Варианты условий страхования. ……………………………………………….15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sz w:val="28"/>
          <w:szCs w:val="28"/>
        </w:rPr>
        <w:t>Самостоятельная работа №  12 Сельскохозяйственное страхование. …………………………………………………………………………………….15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sz w:val="28"/>
          <w:szCs w:val="28"/>
        </w:rPr>
        <w:t>Самостоятельная работа №  13 Страхование интеллектуальной собственности. ………………………………………………………………..…15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Самостоятельная работа №  14 Экологическое страхование. …………...…..15</w:t>
      </w:r>
    </w:p>
    <w:p>
      <w:pPr>
        <w:pStyle w:val="13"/>
        <w:jc w:val="left"/>
        <w:rPr>
          <w:b w:val="false"/>
          <w:b w:val="false"/>
          <w:bCs/>
          <w:sz w:val="28"/>
        </w:rPr>
      </w:pPr>
      <w:r>
        <w:rPr>
          <w:b w:val="false"/>
          <w:sz w:val="28"/>
        </w:rPr>
        <w:t xml:space="preserve">Самостоятельная работа №  15 </w:t>
      </w:r>
      <w:r>
        <w:rPr>
          <w:b w:val="false"/>
          <w:bCs/>
          <w:sz w:val="28"/>
        </w:rPr>
        <w:t>Страхование жизни заемщика ипотечного кредита. ………………………………………………………………………….16</w:t>
      </w:r>
    </w:p>
    <w:p>
      <w:pPr>
        <w:pStyle w:val="13"/>
        <w:jc w:val="left"/>
        <w:rPr>
          <w:b w:val="false"/>
          <w:b w:val="false"/>
          <w:bCs/>
          <w:sz w:val="28"/>
        </w:rPr>
      </w:pPr>
      <w:r>
        <w:rPr>
          <w:b w:val="false"/>
          <w:sz w:val="28"/>
        </w:rPr>
        <w:t>Самостоятельная работа № 16</w:t>
      </w:r>
      <w:r>
        <w:rPr>
          <w:sz w:val="28"/>
        </w:rPr>
        <w:t xml:space="preserve"> </w:t>
      </w:r>
      <w:r>
        <w:rPr>
          <w:b w:val="false"/>
          <w:sz w:val="28"/>
        </w:rPr>
        <w:t>Составление таблицы: Отличие обязательного медицинского страхования от добровольного………………………………...16</w:t>
      </w:r>
    </w:p>
    <w:p>
      <w:pPr>
        <w:pStyle w:val="13"/>
        <w:jc w:val="left"/>
        <w:rPr>
          <w:b w:val="false"/>
          <w:b w:val="false"/>
          <w:iCs/>
          <w:sz w:val="28"/>
        </w:rPr>
      </w:pPr>
      <w:r>
        <w:rPr>
          <w:b w:val="false"/>
          <w:sz w:val="28"/>
        </w:rPr>
        <w:t xml:space="preserve">Самостоятельная работа № 17 </w:t>
      </w:r>
      <w:r>
        <w:rPr>
          <w:b w:val="false"/>
          <w:iCs/>
          <w:sz w:val="28"/>
        </w:rPr>
        <w:t>Страхование граждан, выезжающих за рубеж. …………………………………………………………………………………….16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Самостоятельная работа № 18 </w:t>
      </w:r>
      <w:r>
        <w:rPr>
          <w:bCs/>
          <w:sz w:val="28"/>
          <w:szCs w:val="28"/>
        </w:rPr>
        <w:t>Страхование профессиональной ответственности. ………………………………………………………………...16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Самостоятельная работа № 19 </w:t>
      </w:r>
      <w:r>
        <w:rPr>
          <w:bCs/>
          <w:sz w:val="28"/>
          <w:szCs w:val="28"/>
        </w:rPr>
        <w:t>Страхование гражданской ответственности предприятий – источников повышенной опасности. …………………………17</w:t>
      </w:r>
    </w:p>
    <w:p>
      <w:pPr>
        <w:pStyle w:val="13"/>
        <w:jc w:val="left"/>
        <w:rPr>
          <w:b w:val="false"/>
          <w:b w:val="false"/>
          <w:bCs/>
          <w:sz w:val="28"/>
        </w:rPr>
      </w:pPr>
      <w:r>
        <w:rPr>
          <w:b w:val="false"/>
          <w:sz w:val="28"/>
        </w:rPr>
        <w:t xml:space="preserve">Самостоятельная работа № 20 </w:t>
      </w:r>
      <w:r>
        <w:rPr>
          <w:b w:val="false"/>
          <w:bCs/>
          <w:sz w:val="28"/>
        </w:rPr>
        <w:t>Квотное перестрахование.……………………17</w:t>
      </w:r>
    </w:p>
    <w:p>
      <w:pPr>
        <w:pStyle w:val="13"/>
        <w:jc w:val="left"/>
        <w:rPr>
          <w:b w:val="false"/>
          <w:b w:val="false"/>
          <w:bCs/>
          <w:sz w:val="28"/>
        </w:rPr>
      </w:pPr>
      <w:r>
        <w:rPr>
          <w:b w:val="false"/>
          <w:sz w:val="28"/>
        </w:rPr>
        <w:t xml:space="preserve">Самостоятельная работа № 21 </w:t>
      </w:r>
      <w:r>
        <w:rPr>
          <w:b w:val="false"/>
          <w:bCs/>
          <w:sz w:val="28"/>
        </w:rPr>
        <w:t>Эксцедентное перестрахование. ………...…..17</w:t>
      </w:r>
    </w:p>
    <w:p>
      <w:pPr>
        <w:pStyle w:val="13"/>
        <w:jc w:val="left"/>
        <w:rPr>
          <w:b w:val="false"/>
          <w:b w:val="false"/>
          <w:sz w:val="28"/>
        </w:rPr>
      </w:pPr>
      <w:r>
        <w:rPr>
          <w:b w:val="false"/>
          <w:sz w:val="28"/>
        </w:rPr>
        <w:t>Самостоятельная работа № 22 Обзор страхового законодательства</w:t>
      </w:r>
      <w:r>
        <w:rPr>
          <w:b w:val="false"/>
          <w:bCs/>
          <w:sz w:val="28"/>
        </w:rPr>
        <w:t xml:space="preserve"> </w:t>
      </w:r>
      <w:r>
        <w:rPr>
          <w:b w:val="false"/>
          <w:sz w:val="28"/>
        </w:rPr>
        <w:t>зарубежных стран. ………………………………………………………………17</w:t>
      </w:r>
      <w:r>
        <w:br w:type="page"/>
      </w:r>
    </w:p>
    <w:p>
      <w:pPr>
        <w:pStyle w:val="13"/>
        <w:rPr/>
      </w:pPr>
      <w:r>
        <w:rPr/>
        <w:t>Введение</w:t>
      </w:r>
    </w:p>
    <w:p>
      <w:pPr>
        <w:pStyle w:val="Normal"/>
        <w:rPr/>
      </w:pPr>
      <w:r>
        <w:rPr/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Учебная дисциплина «Страхование» является общепрофилирующей, устанавливающей базовые знания для усвоения специальных дисциплин.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самостоятельной работы должно способствовать более полному усвоению программного материала.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для выполнения самостоятельной работы составлены в соответствии с рабочей программой по дисциплине, рассчитаны на 6 часов, предусматривают самостоятельное изучение многих проблем в сфере управления.</w:t>
      </w:r>
    </w:p>
    <w:p>
      <w:pPr>
        <w:pStyle w:val="Normal"/>
        <w:spacing w:before="0" w:after="12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В результате освоения дисциплины обучающийся должен</w:t>
      </w:r>
      <w:r>
        <w:rPr>
          <w:rStyle w:val="Style18"/>
          <w:bCs/>
          <w:sz w:val="28"/>
          <w:szCs w:val="28"/>
          <w:vertAlign w:val="superscript"/>
        </w:rPr>
        <w:footnoteReference w:id="2"/>
      </w:r>
      <w:r>
        <w:rPr>
          <w:bCs/>
          <w:sz w:val="28"/>
          <w:szCs w:val="28"/>
        </w:rPr>
        <w:t>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29"/>
        <w:gridCol w:w="2779"/>
        <w:gridCol w:w="2777"/>
        <w:gridCol w:w="2785"/>
      </w:tblGrid>
      <w:tr>
        <w:trPr/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Style w:val="Style16"/>
                <w:b/>
                <w:b/>
                <w:i w:val="false"/>
                <w:i w:val="false"/>
                <w:sz w:val="24"/>
                <w:szCs w:val="24"/>
              </w:rPr>
            </w:pPr>
            <w:r>
              <w:rPr>
                <w:rStyle w:val="Style16"/>
                <w:b/>
                <w:sz w:val="24"/>
                <w:szCs w:val="24"/>
              </w:rPr>
              <w:t xml:space="preserve">Код ОК, </w:t>
            </w:r>
          </w:p>
          <w:p>
            <w:pPr>
              <w:pStyle w:val="Normal"/>
              <w:rPr>
                <w:rStyle w:val="Style16"/>
                <w:b/>
                <w:b/>
                <w:sz w:val="24"/>
                <w:szCs w:val="24"/>
              </w:rPr>
            </w:pPr>
            <w:r>
              <w:rPr>
                <w:rStyle w:val="Style16"/>
                <w:b/>
                <w:color w:val="0070C0"/>
                <w:sz w:val="24"/>
                <w:szCs w:val="24"/>
              </w:rPr>
              <w:t xml:space="preserve">ПК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 навыками </w:t>
            </w:r>
          </w:p>
        </w:tc>
      </w:tr>
      <w:tr>
        <w:trPr/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оценивать практическую значимость результатов поиска</w:t>
            </w:r>
          </w:p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номенклатуру информационных источников, применяемых в профессиональной деятельности</w:t>
            </w:r>
          </w:p>
          <w:p>
            <w:pPr>
              <w:pStyle w:val="Normal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приемы структурирования информации</w:t>
            </w:r>
          </w:p>
          <w:p>
            <w:pPr>
              <w:pStyle w:val="Normal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формат оформления результатов поиска информации</w:t>
            </w:r>
          </w:p>
          <w:p>
            <w:pPr>
              <w:pStyle w:val="Normal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современные средства и устройства информатизации, порядок их применения и </w:t>
            </w:r>
          </w:p>
          <w:p>
            <w:pPr>
              <w:pStyle w:val="Normal"/>
              <w:jc w:val="both"/>
              <w:rPr>
                <w:bCs/>
                <w:i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Cs/>
                <w:i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 1.3.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оформлять открытие счетов; оформлять и отражать в учете операции по зачислению средств на счета;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нормативные правовые документы, регулирующие организацию расчетных операций и формирования юридического дела клиента; порядок нумерации лицевых счетов, на которых учитываются средства клиентов; порядок и особенности проведения операций по счетам клиентов.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оформлять и отражать в учете возврат налогоплательщикам сумм ошибочно перечисленных налогов и других платежей.</w:t>
            </w:r>
            <w:bookmarkStart w:id="1" w:name="_Hlk158201861"/>
            <w:bookmarkEnd w:id="1"/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Выполнение заданий по самостоятельной работе должно формировать навыки работы с литературой, умение выбрать главное, самостоятельность в добывании знаний.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Перед выполнением заданий, студент, по согласованию с преподавателем, выбирает 2 – 3 темы из представленного ниже списка для более глубокой проработки. Общий объем тем в ча</w:t>
      </w:r>
      <w:bookmarkStart w:id="2" w:name="_GoBack"/>
      <w:bookmarkEnd w:id="2"/>
      <w:r>
        <w:rPr>
          <w:sz w:val="28"/>
          <w:szCs w:val="28"/>
        </w:rPr>
        <w:t>сах – 6 часов.</w:t>
      </w:r>
      <w:r>
        <w:br w:type="page"/>
      </w:r>
    </w:p>
    <w:p>
      <w:pPr>
        <w:pStyle w:val="13"/>
        <w:rPr/>
      </w:pPr>
      <w:r>
        <w:rPr/>
        <w:t xml:space="preserve">Цели, основные виды самостоятельной работы </w:t>
      </w:r>
      <w:r>
        <w:rPr>
          <w:sz w:val="28"/>
        </w:rPr>
        <w:t>обучающихся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Цели самостоятельной внеаудиторной работы обучающихся</w:t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widowControl w:val="false"/>
        <w:numPr>
          <w:ilvl w:val="0"/>
          <w:numId w:val="3"/>
        </w:numPr>
        <w:jc w:val="both"/>
        <w:rPr/>
      </w:pPr>
      <w:r>
        <w:rPr>
          <w:sz w:val="28"/>
          <w:szCs w:val="28"/>
        </w:rPr>
        <w:t>систематизация и закрепление полученных теоретических знаний и практических умений обучающихся;</w:t>
      </w:r>
    </w:p>
    <w:p>
      <w:pPr>
        <w:pStyle w:val="Normal"/>
        <w:widowControl w:val="fals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углубление и расширение теоретических знаний;</w:t>
      </w:r>
    </w:p>
    <w:p>
      <w:pPr>
        <w:pStyle w:val="Normal"/>
        <w:widowControl w:val="fals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умения использовать нормативную, правовую и справочную литературу;</w:t>
      </w:r>
    </w:p>
    <w:p>
      <w:pPr>
        <w:pStyle w:val="Normal"/>
        <w:widowControl w:val="false"/>
        <w:numPr>
          <w:ilvl w:val="0"/>
          <w:numId w:val="3"/>
        </w:numPr>
        <w:jc w:val="both"/>
        <w:rPr/>
      </w:pPr>
      <w:r>
        <w:rPr>
          <w:sz w:val="28"/>
          <w:szCs w:val="28"/>
        </w:rPr>
        <w:t>развитие познавательных способностей и активности обучающихся;</w:t>
      </w:r>
    </w:p>
    <w:p>
      <w:pPr>
        <w:pStyle w:val="Normal"/>
        <w:widowControl w:val="fals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самостоятельности мышления;</w:t>
      </w:r>
    </w:p>
    <w:p>
      <w:pPr>
        <w:pStyle w:val="Normal"/>
        <w:widowControl w:val="fals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оперирование необходимыми методами исследования;</w:t>
      </w:r>
    </w:p>
    <w:p>
      <w:pPr>
        <w:pStyle w:val="Normal"/>
        <w:widowControl w:val="fals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умение обрабатывать полученные результаты, анализировать и осмысливать их с учётом имеющихся данных;</w:t>
      </w:r>
    </w:p>
    <w:p>
      <w:pPr>
        <w:pStyle w:val="Normal"/>
        <w:widowControl w:val="fals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навыка профессиональной деятельности с привлечением современных информационных технологий.</w:t>
      </w:r>
    </w:p>
    <w:p>
      <w:pPr>
        <w:pStyle w:val="Normal"/>
        <w:widowControl w:val="false"/>
        <w:ind w:left="72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38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31"/>
        <w:gridCol w:w="2543"/>
        <w:gridCol w:w="1417"/>
        <w:gridCol w:w="3846"/>
      </w:tblGrid>
      <w:tr>
        <w:trPr/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обеспечение</w:t>
            </w:r>
          </w:p>
        </w:tc>
      </w:tr>
      <w:tr>
        <w:trPr>
          <w:trHeight w:val="1380" w:hRule="atLeast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1.1.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Сущность и функции страхования в рыночной экономике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</w:rPr>
              <w:t xml:space="preserve"> Страховые фонды как экономическая категория общественного воспроизводства.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4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электронный. Стр.12-14</w:t>
            </w:r>
          </w:p>
        </w:tc>
      </w:tr>
      <w:tr>
        <w:trPr>
          <w:trHeight w:val="1380" w:hRule="atLeast"/>
        </w:trPr>
        <w:tc>
          <w:tcPr>
            <w:tcW w:w="2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Style w:val="FontStyle39"/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cs="Times New Roman"/>
                <w:spacing w:val="0"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2. Основные международные термины, применяемые в практике страхования.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5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электронный. Стр.8-10</w:t>
            </w:r>
          </w:p>
        </w:tc>
      </w:tr>
      <w:tr>
        <w:trPr>
          <w:trHeight w:val="556" w:hRule="atLeast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4"/>
                <w:szCs w:val="24"/>
              </w:rPr>
              <w:t>Тема 1.3</w:t>
            </w:r>
          </w:p>
          <w:p>
            <w:pPr>
              <w:pStyle w:val="Default"/>
              <w:jc w:val="center"/>
              <w:rPr>
                <w:b/>
                <w:b/>
              </w:rPr>
            </w:pPr>
            <w:r>
              <w:rPr>
                <w:b/>
                <w:bCs/>
              </w:rPr>
              <w:t>Страховой риск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61"/>
              <w:widowControl/>
              <w:spacing w:lineRule="auto" w:line="240"/>
              <w:ind w:hanging="0"/>
              <w:rPr/>
            </w:pPr>
            <w:r>
              <w:rPr/>
              <w:t>1. Страхование в системе методов управления риском.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6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электронный. </w:t>
            </w:r>
            <w:r>
              <w:rPr>
                <w:bCs/>
                <w:sz w:val="24"/>
                <w:szCs w:val="24"/>
              </w:rPr>
              <w:t>Стр. 11-12</w:t>
            </w:r>
          </w:p>
        </w:tc>
      </w:tr>
      <w:tr>
        <w:trPr>
          <w:trHeight w:val="1407" w:hRule="atLeast"/>
        </w:trPr>
        <w:tc>
          <w:tcPr>
            <w:tcW w:w="213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>
              <w:rPr>
                <w:rStyle w:val="FontStyle29"/>
                <w:b/>
                <w:sz w:val="24"/>
                <w:szCs w:val="24"/>
              </w:rPr>
              <w:t xml:space="preserve">2.1. 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Национальный страховой рынок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right="-3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Страховая компания как первичное звено страхового рынка.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7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электронный. Стр.51-52</w:t>
            </w:r>
          </w:p>
          <w:p>
            <w:pPr>
              <w:pStyle w:val="Normal"/>
              <w:rPr/>
            </w:pPr>
            <w:hyperlink r:id="rId8">
              <w:r>
                <w:rPr>
                  <w:rStyle w:val="ListLabel21"/>
                  <w:sz w:val="24"/>
                  <w:szCs w:val="24"/>
                </w:rPr>
                <w:t>http://5fan.ru/wievjob.php?id=32175-</w:t>
              </w:r>
            </w:hyperlink>
            <w:r>
              <w:rPr>
                <w:sz w:val="24"/>
                <w:szCs w:val="24"/>
              </w:rPr>
              <w:t xml:space="preserve"> "Пятифан" </w:t>
            </w:r>
            <w:hyperlink r:id="rId9" w:tgtFrame="_blank">
              <w:r>
                <w:rPr>
                  <w:rStyle w:val="ListLabel21"/>
                  <w:sz w:val="24"/>
                  <w:szCs w:val="24"/>
                </w:rPr>
                <w:t>http://5fan.ru</w:t>
              </w:r>
            </w:hyperlink>
          </w:p>
        </w:tc>
      </w:tr>
      <w:tr>
        <w:trPr>
          <w:trHeight w:val="990" w:hRule="atLeast"/>
        </w:trPr>
        <w:tc>
          <w:tcPr>
            <w:tcW w:w="21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2. Перспективы развития рынка страховых услуг России.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1"/>
              <w:widowControl/>
              <w:tabs>
                <w:tab w:val="clear" w:pos="708"/>
                <w:tab w:val="left" w:pos="113" w:leader="none"/>
              </w:tabs>
              <w:spacing w:lineRule="exact" w:line="300" w:before="74" w:after="0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Основы страхового дела: учебник и практикум для среднего профессионального образования / И. П. Хоминич [и др.] ; под редакцией И. П. Хоминич, Е. В. Дик. — Москва: Издательство Юрайт, 2021. — 242 с. — (Профессиональное образование). — ISBN 978-5-534-00879-1. — Текст : электронный // ЭБС Юрайт [сайт]. — URL:</w:t>
            </w:r>
            <w:hyperlink r:id="rId10" w:tgtFrame="_blank">
              <w:r>
                <w:rPr>
                  <w:rStyle w:val="ListLabel22"/>
                  <w:rFonts w:cs="Times New Roman" w:ascii="Times New Roman" w:hAnsi="Times New Roman"/>
                  <w:shd w:fill="FFFFFF" w:val="clear"/>
                </w:rPr>
                <w:t>http://biblio-online.ru/bcode/433601</w:t>
              </w:r>
            </w:hyperlink>
          </w:p>
        </w:tc>
      </w:tr>
      <w:tr>
        <w:trPr>
          <w:trHeight w:val="1002" w:hRule="atLeast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2.2.</w:t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Организационно-правовые аспекты страховой деятельности</w:t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4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Антикризисное регулирование и банкротство страховых компаний.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11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электронный. Стр.72-77</w:t>
            </w:r>
          </w:p>
        </w:tc>
      </w:tr>
      <w:tr>
        <w:trPr>
          <w:trHeight w:val="795" w:hRule="atLeast"/>
        </w:trPr>
        <w:tc>
          <w:tcPr>
            <w:tcW w:w="2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4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Страховое мошенничество и меры по его предупреждению.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1"/>
              <w:widowControl/>
              <w:tabs>
                <w:tab w:val="clear" w:pos="708"/>
                <w:tab w:val="left" w:pos="113" w:leader="none"/>
              </w:tabs>
              <w:rPr/>
            </w:pPr>
            <w:r>
              <w:rPr>
                <w:rFonts w:cs="Times New Roman" w:ascii="Times New Roman" w:hAnsi="Times New Roman"/>
                <w:bCs/>
                <w:shd w:fill="FFFFFF" w:val="clear"/>
              </w:rPr>
              <w:t>Архипов А.П.</w:t>
            </w:r>
            <w:r>
              <w:rPr>
                <w:rStyle w:val="Appleconvertedspace"/>
                <w:rFonts w:cs="Times New Roman" w:ascii="Times New Roman" w:hAnsi="Times New Roman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12">
              <w:r>
                <w:rPr>
                  <w:rStyle w:val="ListLabel22"/>
                  <w:rFonts w:cs="Times New Roman" w:ascii="Times New Roman" w:hAnsi="Times New Roman"/>
                  <w:shd w:fill="FFFFFF" w:val="clear"/>
                </w:rPr>
                <w:t>https://book.ru/book/929763</w:t>
              </w:r>
            </w:hyperlink>
            <w:r>
              <w:rPr>
                <w:rFonts w:cs="Times New Roman" w:ascii="Times New Roman" w:hAnsi="Times New Roman"/>
                <w:shd w:fill="FFFFFF" w:val="clear"/>
              </w:rPr>
              <w:t xml:space="preserve"> — Текст: электронный.</w:t>
            </w:r>
            <w:r>
              <w:rPr>
                <w:rFonts w:cs="Times New Roman" w:ascii="Times New Roman" w:hAnsi="Times New Roman"/>
              </w:rPr>
              <w:t>Стр. 213-220;</w:t>
            </w:r>
          </w:p>
          <w:p>
            <w:pPr>
              <w:pStyle w:val="Normal"/>
              <w:rPr/>
            </w:pPr>
            <w:hyperlink r:id="rId13">
              <w:r>
                <w:rPr>
                  <w:rStyle w:val="ListLabel21"/>
                  <w:sz w:val="24"/>
                  <w:szCs w:val="24"/>
                  <w:lang w:val="en-US"/>
                </w:rPr>
                <w:t>http</w:t>
              </w:r>
              <w:r>
                <w:rPr>
                  <w:rStyle w:val="ListLabel21"/>
                  <w:sz w:val="24"/>
                  <w:szCs w:val="24"/>
                </w:rPr>
                <w:t>://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risk</w:t>
              </w:r>
              <w:r>
                <w:rPr>
                  <w:rStyle w:val="ListLabel21"/>
                  <w:sz w:val="24"/>
                  <w:szCs w:val="24"/>
                </w:rPr>
                <w:t>-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insurance</w:t>
              </w:r>
              <w:r>
                <w:rPr>
                  <w:rStyle w:val="ListLabel21"/>
                  <w:sz w:val="24"/>
                  <w:szCs w:val="24"/>
                </w:rPr>
                <w:t>.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ru</w:t>
              </w:r>
              <w:r>
                <w:rPr>
                  <w:rStyle w:val="ListLabel21"/>
                  <w:sz w:val="24"/>
                  <w:szCs w:val="24"/>
                </w:rPr>
                <w:t>/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insurance</w:t>
              </w:r>
              <w:r>
                <w:rPr>
                  <w:rStyle w:val="ListLabel21"/>
                  <w:sz w:val="24"/>
                  <w:szCs w:val="24"/>
                </w:rPr>
                <w:t>-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management</w:t>
              </w:r>
              <w:r>
                <w:rPr>
                  <w:rStyle w:val="ListLabel21"/>
                  <w:sz w:val="24"/>
                  <w:szCs w:val="24"/>
                </w:rPr>
                <w:t>/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managing</w:t>
              </w:r>
              <w:r>
                <w:rPr>
                  <w:rStyle w:val="ListLabel21"/>
                  <w:sz w:val="24"/>
                  <w:szCs w:val="24"/>
                </w:rPr>
                <w:t>-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security</w:t>
              </w:r>
              <w:r>
                <w:rPr>
                  <w:rStyle w:val="ListLabel21"/>
                  <w:sz w:val="24"/>
                  <w:szCs w:val="24"/>
                </w:rPr>
                <w:t>/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fraud</w:t>
              </w:r>
              <w:r>
                <w:rPr>
                  <w:rStyle w:val="ListLabel21"/>
                  <w:sz w:val="24"/>
                  <w:szCs w:val="24"/>
                </w:rPr>
                <w:t>-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in</w:t>
              </w:r>
              <w:r>
                <w:rPr>
                  <w:rStyle w:val="ListLabel21"/>
                  <w:sz w:val="24"/>
                  <w:szCs w:val="24"/>
                </w:rPr>
                <w:t>-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insurance</w:t>
              </w:r>
              <w:r>
                <w:rPr>
                  <w:rStyle w:val="ListLabel21"/>
                  <w:sz w:val="24"/>
                  <w:szCs w:val="24"/>
                </w:rPr>
                <w:t>.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html</w:t>
              </w:r>
              <w:r>
                <w:rPr>
                  <w:rStyle w:val="ListLabel21"/>
                  <w:sz w:val="24"/>
                  <w:szCs w:val="24"/>
                </w:rPr>
                <w:t>-</w:t>
              </w:r>
            </w:hyperlink>
            <w:r>
              <w:rPr>
                <w:rStyle w:val="FontStyle39"/>
                <w:rFonts w:cs="Times New Roman"/>
                <w:b w:val="false"/>
                <w:bCs w:val="false"/>
                <w:spacing w:val="0"/>
                <w:sz w:val="24"/>
                <w:szCs w:val="24"/>
              </w:rPr>
              <w:t xml:space="preserve"> «Страхование рисков»- справочный портал о страховании.</w:t>
            </w:r>
          </w:p>
        </w:tc>
      </w:tr>
      <w:tr>
        <w:trPr>
          <w:trHeight w:val="555" w:hRule="atLeast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Style w:val="FontStyle39"/>
                <w:rFonts w:ascii="Times New Roman" w:hAnsi="Times New Roman" w:cs="Times New Roman"/>
                <w:bCs w:val="false"/>
                <w:spacing w:val="0"/>
                <w:sz w:val="24"/>
                <w:szCs w:val="24"/>
              </w:rPr>
            </w:pPr>
            <w:r>
              <w:rPr>
                <w:rFonts w:cs="Times New Roman"/>
                <w:bCs w:val="false"/>
                <w:spacing w:val="0"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4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Особенности регулирования страховой деятельности в странах Европейского союза (ЕС).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1"/>
              <w:widowControl/>
              <w:tabs>
                <w:tab w:val="clear" w:pos="708"/>
                <w:tab w:val="left" w:pos="113" w:leader="none"/>
              </w:tabs>
              <w:spacing w:lineRule="exact" w:line="300" w:before="74" w:after="0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Основы страхового дела: учебник и практикум для среднего профессионального образования / И. П. Хоминич [и др.] ; под редакцией И. П. Хоминич, Е. В. Дик. — Москва: Издательство Юрайт, 2021. — 242 с. — (Профессиональное образование). — ISBN 978-5-534-00879-1. — Текст : электронный // ЭБС Юрайт [сайт]. — URL:</w:t>
            </w:r>
            <w:hyperlink r:id="rId14" w:tgtFrame="_blank">
              <w:r>
                <w:rPr>
                  <w:rStyle w:val="ListLabel22"/>
                  <w:rFonts w:cs="Times New Roman" w:ascii="Times New Roman" w:hAnsi="Times New Roman"/>
                  <w:shd w:fill="FFFFFF" w:val="clear"/>
                </w:rPr>
                <w:t>http://biblio-online.ru/bcode/433601</w:t>
              </w:r>
            </w:hyperlink>
          </w:p>
        </w:tc>
      </w:tr>
      <w:tr>
        <w:trPr>
          <w:trHeight w:val="1569" w:hRule="atLeast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4"/>
                <w:szCs w:val="24"/>
              </w:rPr>
              <w:t>Тема 3.1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Социальное страхование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</w:rPr>
              <w:t>Социальная защита населения как система управления социальными рисками.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1"/>
              <w:widowControl/>
              <w:tabs>
                <w:tab w:val="clear" w:pos="708"/>
                <w:tab w:val="left" w:pos="113" w:leader="none"/>
              </w:tabs>
              <w:rPr/>
            </w:pPr>
            <w:r>
              <w:rPr>
                <w:rFonts w:cs="Times New Roman" w:ascii="Times New Roman" w:hAnsi="Times New Roman"/>
                <w:bCs/>
                <w:shd w:fill="FFFFFF" w:val="clear"/>
              </w:rPr>
              <w:t>Галаганов В.П.</w:t>
            </w:r>
            <w:r>
              <w:rPr>
                <w:rStyle w:val="Appleconvertedspace"/>
                <w:rFonts w:cs="Times New Roman" w:ascii="Times New Roman" w:hAnsi="Times New Roman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shd w:fill="FFFFFF" w:val="clear"/>
              </w:rPr>
              <w:t xml:space="preserve">Основы страхования и страхового дела: учебное пособие / Галаганов В.П. — Москва: КноРус, 2018. — 216 с. — (для ссузов). — ISBN 978-5-406-06052-0. — URL: </w:t>
            </w:r>
            <w:hyperlink r:id="rId15">
              <w:r>
                <w:rPr>
                  <w:rStyle w:val="ListLabel22"/>
                  <w:rFonts w:cs="Times New Roman" w:ascii="Times New Roman" w:hAnsi="Times New Roman"/>
                  <w:shd w:fill="FFFFFF" w:val="clear"/>
                </w:rPr>
                <w:t>https://book.ru/book/926148</w:t>
              </w:r>
            </w:hyperlink>
            <w:r>
              <w:rPr>
                <w:rFonts w:cs="Times New Roman" w:ascii="Times New Roman" w:hAnsi="Times New Roman"/>
                <w:shd w:fill="FFFFFF" w:val="clear"/>
              </w:rPr>
              <w:t xml:space="preserve"> — Текст: электронный.</w:t>
            </w:r>
            <w:r>
              <w:rPr>
                <w:rFonts w:cs="Times New Roman" w:ascii="Times New Roman" w:hAnsi="Times New Roman"/>
                <w:bCs/>
              </w:rPr>
              <w:t xml:space="preserve">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Стр. 97-102</w:t>
            </w:r>
          </w:p>
        </w:tc>
      </w:tr>
      <w:tr>
        <w:trPr>
          <w:trHeight w:val="1952" w:hRule="atLeast"/>
        </w:trPr>
        <w:tc>
          <w:tcPr>
            <w:tcW w:w="2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Система выплат по социальному страхованию.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1"/>
              <w:widowControl/>
              <w:tabs>
                <w:tab w:val="clear" w:pos="708"/>
                <w:tab w:val="left" w:pos="113" w:leader="none"/>
              </w:tabs>
              <w:spacing w:lineRule="exact" w:line="300" w:before="74" w:after="0"/>
              <w:rPr/>
            </w:pPr>
            <w:r>
              <w:rPr>
                <w:rFonts w:cs="Times New Roman" w:ascii="Times New Roman" w:hAnsi="Times New Roman"/>
                <w:bCs/>
                <w:shd w:fill="FFFFFF" w:val="clear"/>
              </w:rPr>
              <w:t>Галаганов В.П.</w:t>
            </w:r>
            <w:r>
              <w:rPr>
                <w:rStyle w:val="Appleconvertedspace"/>
                <w:rFonts w:cs="Times New Roman" w:ascii="Times New Roman" w:hAnsi="Times New Roman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shd w:fill="FFFFFF" w:val="clear"/>
              </w:rPr>
              <w:t xml:space="preserve">Основы страхования и страхового дела: учебное пособие / Галаганов В.П. — Москва: КноРус, 2018. — 216 с. — (для ссузов). — ISBN 978-5-406-06052-0. — URL: </w:t>
            </w:r>
            <w:hyperlink r:id="rId16">
              <w:r>
                <w:rPr>
                  <w:rStyle w:val="ListLabel22"/>
                  <w:rFonts w:cs="Times New Roman" w:ascii="Times New Roman" w:hAnsi="Times New Roman"/>
                  <w:shd w:fill="FFFFFF" w:val="clear"/>
                </w:rPr>
                <w:t>https://book.ru/book/926148</w:t>
              </w:r>
            </w:hyperlink>
            <w:r>
              <w:rPr>
                <w:rFonts w:cs="Times New Roman" w:ascii="Times New Roman" w:hAnsi="Times New Roman"/>
                <w:shd w:fill="FFFFFF" w:val="clear"/>
              </w:rPr>
              <w:t xml:space="preserve"> — Текст: электронный.</w:t>
            </w:r>
            <w:r>
              <w:rPr>
                <w:rFonts w:cs="Times New Roman" w:ascii="Times New Roman" w:hAnsi="Times New Roman"/>
                <w:bCs/>
              </w:rPr>
              <w:t xml:space="preserve"> Стр.76-80</w:t>
            </w:r>
          </w:p>
        </w:tc>
      </w:tr>
      <w:tr>
        <w:trPr>
          <w:trHeight w:val="1749" w:hRule="atLeast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3.2.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Имущественное страхование юридических лиц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Страхование грузов. Порядок проведения. Варианты условий страхования.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17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</w:t>
            </w:r>
            <w:r>
              <w:rPr>
                <w:sz w:val="24"/>
                <w:szCs w:val="24"/>
              </w:rPr>
              <w:t>. Стр.111-113</w:t>
            </w:r>
          </w:p>
        </w:tc>
      </w:tr>
      <w:tr>
        <w:trPr>
          <w:trHeight w:val="1414" w:hRule="atLeast"/>
        </w:trPr>
        <w:tc>
          <w:tcPr>
            <w:tcW w:w="2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Сельскохозяйственное страхование.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2019. — 252 с. — ISBN 978-5-406-06565-5. — URL: </w:t>
            </w:r>
            <w:hyperlink r:id="rId18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</w:t>
            </w:r>
            <w:r>
              <w:rPr>
                <w:sz w:val="24"/>
                <w:szCs w:val="24"/>
              </w:rPr>
              <w:t>. Стр.114-116</w:t>
            </w:r>
          </w:p>
        </w:tc>
      </w:tr>
      <w:tr>
        <w:trPr>
          <w:trHeight w:val="1965" w:hRule="atLeast"/>
        </w:trPr>
        <w:tc>
          <w:tcPr>
            <w:tcW w:w="2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Страхование интеллектуальной собственности.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1"/>
              <w:widowControl/>
              <w:tabs>
                <w:tab w:val="clear" w:pos="708"/>
                <w:tab w:val="left" w:pos="113" w:leader="none"/>
              </w:tabs>
              <w:rPr/>
            </w:pPr>
            <w:r>
              <w:rPr>
                <w:rFonts w:cs="Times New Roman" w:ascii="Times New Roman" w:hAnsi="Times New Roman"/>
                <w:bCs/>
                <w:shd w:fill="FFFFFF" w:val="clear"/>
              </w:rPr>
              <w:t>Архипов А.П.</w:t>
            </w:r>
            <w:r>
              <w:rPr>
                <w:rStyle w:val="Appleconvertedspace"/>
                <w:rFonts w:cs="Times New Roman" w:ascii="Times New Roman" w:hAnsi="Times New Roman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19">
              <w:r>
                <w:rPr>
                  <w:rStyle w:val="ListLabel22"/>
                  <w:rFonts w:cs="Times New Roman" w:ascii="Times New Roman" w:hAnsi="Times New Roman"/>
                  <w:shd w:fill="FFFFFF" w:val="clear"/>
                </w:rPr>
                <w:t>https://book.ru/book/929763</w:t>
              </w:r>
            </w:hyperlink>
            <w:r>
              <w:rPr>
                <w:rFonts w:cs="Times New Roman" w:ascii="Times New Roman" w:hAnsi="Times New Roman"/>
                <w:shd w:fill="FFFFFF" w:val="clear"/>
              </w:rPr>
              <w:t xml:space="preserve"> — Текст: электронный.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 123-128</w:t>
            </w:r>
          </w:p>
        </w:tc>
      </w:tr>
      <w:tr>
        <w:trPr>
          <w:trHeight w:val="1627" w:hRule="atLeast"/>
        </w:trPr>
        <w:tc>
          <w:tcPr>
            <w:tcW w:w="2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Экологическое страхование.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20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</w:t>
            </w:r>
            <w:r>
              <w:rPr>
                <w:sz w:val="24"/>
                <w:szCs w:val="24"/>
              </w:rPr>
              <w:t>. Стр.128-132</w:t>
            </w:r>
          </w:p>
        </w:tc>
      </w:tr>
      <w:tr>
        <w:trPr>
          <w:trHeight w:val="1098" w:hRule="atLeast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3.4. 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Личное страхование.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Страхование жизни заемщика ипотечного кредита.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hyperlink r:id="rId21">
              <w:r>
                <w:rPr>
                  <w:rStyle w:val="ListLabel21"/>
                  <w:sz w:val="24"/>
                  <w:szCs w:val="24"/>
                </w:rPr>
                <w:t>http://lifenofear.com/lichnoe-strahovanie/zhizni/pri-ipoteke-i-kredite.html-</w:t>
              </w:r>
            </w:hyperlink>
            <w:r>
              <w:rPr>
                <w:sz w:val="24"/>
                <w:szCs w:val="24"/>
              </w:rPr>
              <w:t xml:space="preserve"> «Жизнь без страха. Все о страховании.»</w:t>
            </w:r>
          </w:p>
        </w:tc>
      </w:tr>
      <w:tr>
        <w:trPr>
          <w:trHeight w:val="1583" w:hRule="atLeast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3.7.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Добровольное медицинское страхование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Отличие обязательного медицинского страхования от добровольного.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22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</w:t>
            </w:r>
            <w:r>
              <w:rPr>
                <w:sz w:val="24"/>
                <w:szCs w:val="24"/>
              </w:rPr>
              <w:t>. Стр.92-94</w:t>
            </w:r>
          </w:p>
        </w:tc>
      </w:tr>
      <w:tr>
        <w:trPr>
          <w:trHeight w:val="1355" w:hRule="atLeast"/>
        </w:trPr>
        <w:tc>
          <w:tcPr>
            <w:tcW w:w="2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napToGrid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Страхование граждан, выезжающих за рубеж.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1"/>
              <w:widowControl/>
              <w:tabs>
                <w:tab w:val="clear" w:pos="708"/>
                <w:tab w:val="left" w:pos="113" w:leader="none"/>
              </w:tabs>
              <w:rPr/>
            </w:pPr>
            <w:r>
              <w:rPr>
                <w:rFonts w:cs="Times New Roman" w:ascii="Times New Roman" w:hAnsi="Times New Roman"/>
                <w:bCs/>
                <w:shd w:fill="FFFFFF" w:val="clear"/>
              </w:rPr>
              <w:t>Архипов А.П.</w:t>
            </w:r>
            <w:r>
              <w:rPr>
                <w:rStyle w:val="Appleconvertedspace"/>
                <w:rFonts w:cs="Times New Roman" w:ascii="Times New Roman" w:hAnsi="Times New Roman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23">
              <w:r>
                <w:rPr>
                  <w:rStyle w:val="ListLabel22"/>
                  <w:rFonts w:cs="Times New Roman" w:ascii="Times New Roman" w:hAnsi="Times New Roman"/>
                  <w:shd w:fill="FFFFFF" w:val="clear"/>
                </w:rPr>
                <w:t>https://book.ru/book/929763</w:t>
              </w:r>
            </w:hyperlink>
            <w:r>
              <w:rPr>
                <w:rFonts w:cs="Times New Roman" w:ascii="Times New Roman" w:hAnsi="Times New Roman"/>
                <w:shd w:fill="FFFFFF" w:val="clear"/>
              </w:rPr>
              <w:t xml:space="preserve"> — Текст: электронный.</w:t>
            </w:r>
            <w:r>
              <w:rPr>
                <w:rFonts w:cs="Times New Roman" w:ascii="Times New Roman" w:hAnsi="Times New Roman"/>
              </w:rPr>
              <w:t>Стр. 94-98;</w:t>
            </w:r>
          </w:p>
          <w:p>
            <w:pPr>
              <w:pStyle w:val="Normal"/>
              <w:rPr/>
            </w:pPr>
            <w:hyperlink r:id="rId24">
              <w:r>
                <w:rPr>
                  <w:rStyle w:val="ListLabel21"/>
                  <w:sz w:val="24"/>
                  <w:szCs w:val="24"/>
                </w:rPr>
                <w:t>https://ru.wikipedia.org/wiki/</w:t>
              </w:r>
            </w:hyperlink>
            <w:r>
              <w:rPr>
                <w:sz w:val="24"/>
                <w:szCs w:val="24"/>
              </w:rPr>
              <w:t>-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Википедия</w:t>
            </w:r>
          </w:p>
        </w:tc>
      </w:tr>
      <w:tr>
        <w:trPr>
          <w:trHeight w:val="1709" w:hRule="atLeast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3.8.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Страхование ответственности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Страхование профессиональной ответственности. </w:t>
            </w:r>
          </w:p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25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</w:t>
            </w:r>
            <w:r>
              <w:rPr>
                <w:sz w:val="24"/>
                <w:szCs w:val="24"/>
              </w:rPr>
              <w:t>. Стр. 142-148</w:t>
            </w:r>
          </w:p>
        </w:tc>
      </w:tr>
      <w:tr>
        <w:trPr>
          <w:trHeight w:val="1397" w:hRule="atLeast"/>
        </w:trPr>
        <w:tc>
          <w:tcPr>
            <w:tcW w:w="2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Страхование гражданской ответственности предприятий – источников повышенной опасности.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26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</w:t>
            </w:r>
            <w:r>
              <w:rPr>
                <w:sz w:val="24"/>
                <w:szCs w:val="24"/>
              </w:rPr>
              <w:t>. Стр.128-132</w:t>
            </w:r>
          </w:p>
        </w:tc>
      </w:tr>
      <w:tr>
        <w:trPr>
          <w:trHeight w:val="1690" w:hRule="atLeast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4.2.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Понятие и механизм перестрахования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Квотное перестрахование. Эксцедентное перестрахование.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27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</w:t>
            </w:r>
            <w:r>
              <w:rPr>
                <w:sz w:val="24"/>
                <w:szCs w:val="24"/>
              </w:rPr>
              <w:t>. Стр.70-72</w:t>
            </w:r>
          </w:p>
        </w:tc>
      </w:tr>
      <w:tr>
        <w:trPr>
          <w:trHeight w:val="964" w:hRule="atLeast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5.1.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Мировое страховое хозяйство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Обзор страхового законодательства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зарубежных стран.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28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</w:t>
            </w:r>
            <w:r>
              <w:rPr>
                <w:sz w:val="24"/>
                <w:szCs w:val="24"/>
              </w:rPr>
              <w:t>. Стр. 241-247</w:t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литературы.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Согласно требованиям государственных образовательных стандартов среднего профессионального образования и плана учебного процесса, каждый студент обязан выполнить по каждой учебной дисциплине определенный объем внеаудиторной самостоятельной   работы.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В качестве форм и методов контроля внеаудиторной самостоятельной работы используется защита сообщений, выступление на занятиях, оформление схем и таблиц.</w:t>
      </w:r>
    </w:p>
    <w:p>
      <w:pPr>
        <w:pStyle w:val="1"/>
        <w:numPr>
          <w:ilvl w:val="0"/>
          <w:numId w:val="2"/>
        </w:numPr>
        <w:spacing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1"/>
        <w:numPr>
          <w:ilvl w:val="0"/>
          <w:numId w:val="2"/>
        </w:numPr>
        <w:spacing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Критерии оценки результатов самостоятельной работы</w:t>
      </w:r>
    </w:p>
    <w:p>
      <w:pPr>
        <w:pStyle w:val="Normal"/>
        <w:jc w:val="center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Критериями оценки результатов внеаудиторной самостоятельной работы обучающихся являются: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освоения учебного материала;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использовать теоретические знания при выполнении практических задач;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сформированности общеучебных умений;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активно использовать электронные образовательные ресурсы, находить требующуюся информацию, изучать ее и применять на практике;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-обоснованность и четкость изложения материала;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-оформление материала в соответствии с требованиями стандарта;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умения ориентироваться в потоке информации, выделять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главное;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четко сформулировать проблему, предложив ее решение, критически оценить решение и его последствия;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определить, проанализировать альтернативные возможности, варианты действий;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умения сформулировать собственную позицию, оценку и аргументировать ее.</w:t>
      </w:r>
    </w:p>
    <w:p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  <w:r>
        <w:br w:type="page"/>
      </w:r>
    </w:p>
    <w:p>
      <w:pPr>
        <w:pStyle w:val="1"/>
        <w:numPr>
          <w:ilvl w:val="0"/>
          <w:numId w:val="2"/>
        </w:numPr>
        <w:spacing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Методические рекомендации по работе с литературой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Важной составляющей самостоятельной внеаудиторной подготовки является работа с литературой ко всем занятиям: семинарским, практическим, при подготовке к зачетам, экзаменам, тестированию участию в научных конференциях. 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Умение работать с литературой означает научиться осмысленно пользоваться источниками.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Существует несколько методов работы с литературой.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</w:rPr>
        <w:t xml:space="preserve">Один из них – самый известный – </w:t>
      </w:r>
      <w:r>
        <w:rPr>
          <w:rFonts w:eastAsia="Calibri"/>
          <w:sz w:val="28"/>
          <w:szCs w:val="28"/>
          <w:u w:val="single"/>
        </w:rPr>
        <w:t>метод повторения</w:t>
      </w:r>
      <w:r>
        <w:rPr>
          <w:rFonts w:eastAsia="Calibri"/>
          <w:sz w:val="28"/>
          <w:szCs w:val="28"/>
        </w:rPr>
        <w:t>: прочитанный текст можно заучить наизусть. Простое повторение воздействует на память механически и поверхностно. Полученные таким путем сведения легко забываются.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</w:rPr>
        <w:t xml:space="preserve">Наиболее эффективный метод – </w:t>
      </w:r>
      <w:r>
        <w:rPr>
          <w:rFonts w:eastAsia="Calibri"/>
          <w:sz w:val="28"/>
          <w:szCs w:val="28"/>
          <w:u w:val="single"/>
        </w:rPr>
        <w:t>метод кодирования</w:t>
      </w:r>
      <w:r>
        <w:rPr>
          <w:rFonts w:eastAsia="Calibri"/>
          <w:sz w:val="28"/>
          <w:szCs w:val="28"/>
        </w:rPr>
        <w:t>: прочитанный текст нужно подвергнуть большей, чем простое заучивание, обработке. Чтобы основательно обработать информацию и закодировать ее для хранения, важно провести целый ряд мыслительных операций: прокомментировать новые данные; оценить их значение; поставить вопросы; сопоставить полученные  сведения с ранее известными.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улучшения обработки информации очень важно устанавливать осмысленные связи, структурировать новые сведения.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Изучение научной учебной и иной литературы требует ведения рабочих записей. 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Форма записей может быть весьма разнообразной: простой или развернутый план, тезисы, цитаты, конспект.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  <w:u w:val="single"/>
        </w:rPr>
        <w:t>План</w:t>
      </w:r>
      <w:r>
        <w:rPr>
          <w:rFonts w:eastAsia="Calibri"/>
          <w:sz w:val="28"/>
          <w:szCs w:val="28"/>
        </w:rPr>
        <w:t xml:space="preserve"> - первооснова, каркас какой- либо письменной работы, определяющие последовательность изложения материала.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может быть простым и развернутым. Их отличие состоит в степени детализации содержания и, соответственно, в объеме.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Преимущество плана состоит в следующем.</w:t>
      </w:r>
    </w:p>
    <w:p>
      <w:pPr>
        <w:pStyle w:val="Normal"/>
        <w:ind w:firstLine="284"/>
        <w:jc w:val="both"/>
        <w:rPr/>
      </w:pPr>
      <w:r>
        <w:rPr>
          <w:rFonts w:eastAsia="Calibri"/>
          <w:i/>
          <w:sz w:val="28"/>
          <w:szCs w:val="28"/>
        </w:rPr>
        <w:t>Во-первых</w:t>
      </w:r>
      <w:r>
        <w:rPr>
          <w:rFonts w:eastAsia="Calibri"/>
          <w:sz w:val="28"/>
          <w:szCs w:val="28"/>
        </w:rPr>
        <w:t>, план позволяет наилучшим образом уяснить логику мысли автора, упрощает понимание главных моментов произведения.</w:t>
      </w:r>
    </w:p>
    <w:p>
      <w:pPr>
        <w:pStyle w:val="Normal"/>
        <w:ind w:firstLine="284"/>
        <w:jc w:val="both"/>
        <w:rPr/>
      </w:pPr>
      <w:r>
        <w:rPr>
          <w:rFonts w:eastAsia="Calibri"/>
          <w:i/>
          <w:sz w:val="28"/>
          <w:szCs w:val="28"/>
        </w:rPr>
        <w:t>Во-вторых</w:t>
      </w:r>
      <w:r>
        <w:rPr>
          <w:rFonts w:eastAsia="Calibri"/>
          <w:sz w:val="28"/>
          <w:szCs w:val="28"/>
        </w:rPr>
        <w:t>, план позволяет быстро и глубоко проникнуть в сущность построения произведения и, следовательно, гораздо легче ориентироваться в его содержании.</w:t>
      </w:r>
    </w:p>
    <w:p>
      <w:pPr>
        <w:pStyle w:val="Normal"/>
        <w:ind w:firstLine="284"/>
        <w:jc w:val="both"/>
        <w:rPr/>
      </w:pPr>
      <w:r>
        <w:rPr>
          <w:rFonts w:eastAsia="Calibri"/>
          <w:i/>
          <w:sz w:val="28"/>
          <w:szCs w:val="28"/>
        </w:rPr>
        <w:t>В-третьих</w:t>
      </w:r>
      <w:r>
        <w:rPr>
          <w:rFonts w:eastAsia="Calibri"/>
          <w:sz w:val="28"/>
          <w:szCs w:val="28"/>
        </w:rPr>
        <w:t>, план позволяет – при последующем возвращении к нему – быстрее обычного вспомнить прочитанное.</w:t>
      </w:r>
    </w:p>
    <w:p>
      <w:pPr>
        <w:pStyle w:val="Normal"/>
        <w:ind w:firstLine="284"/>
        <w:jc w:val="both"/>
        <w:rPr/>
      </w:pPr>
      <w:r>
        <w:rPr>
          <w:rFonts w:eastAsia="Calibri"/>
          <w:i/>
          <w:sz w:val="28"/>
          <w:szCs w:val="28"/>
        </w:rPr>
        <w:t>В-четвертых</w:t>
      </w:r>
      <w:r>
        <w:rPr>
          <w:rFonts w:eastAsia="Calibri"/>
          <w:sz w:val="28"/>
          <w:szCs w:val="28"/>
        </w:rPr>
        <w:t>, с помощью плана гораздо удобнее отыскивать в источнике нужные места, факты, цитаты и т.д.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  <w:u w:val="single"/>
        </w:rPr>
        <w:t>Выписки</w:t>
      </w:r>
      <w:r>
        <w:rPr>
          <w:rFonts w:eastAsia="Calibri"/>
          <w:sz w:val="28"/>
          <w:szCs w:val="28"/>
        </w:rPr>
        <w:t xml:space="preserve"> – небольшие фрагменты текста (неполные и полные предложения, отделы, абзацы, а также дословные и близкие к дословным записи об излагаемых в нем фактах), содержащие в себе квинтэссенцию содержания прочитанного. 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Выписки представляют собой более сложную форму записи содержания исходного источника информации. По сути, выписки – не что иное, как цитаты, заимствованные из текста. Выписки позволяют в концентрированные форме и с максимальной точностью воспроизвести в произвольном (чаще последовательном) порядке наиболее важные мысли автора, статистические и даталогические сведения. В отдельных случаях – когда это оправдано с точки зрения продолжения работы над текстом – вполне допустимо заменять цитирование изложением, близким дословному.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  <w:u w:val="single"/>
        </w:rPr>
        <w:t>Тезисы</w:t>
      </w:r>
      <w:r>
        <w:rPr>
          <w:rFonts w:eastAsia="Calibri"/>
          <w:sz w:val="28"/>
          <w:szCs w:val="28"/>
        </w:rPr>
        <w:t xml:space="preserve"> – сжатое изложение содержания изученного материала в утвердительной (реже опровергающей) форме.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</w:rPr>
        <w:t xml:space="preserve">Отличие тезисов от обычных выписок состоит в следующем. </w:t>
      </w:r>
      <w:r>
        <w:rPr>
          <w:rFonts w:eastAsia="Calibri"/>
          <w:i/>
          <w:sz w:val="28"/>
          <w:szCs w:val="28"/>
        </w:rPr>
        <w:t>Во-первых</w:t>
      </w:r>
      <w:r>
        <w:rPr>
          <w:rFonts w:eastAsia="Calibri"/>
          <w:sz w:val="28"/>
          <w:szCs w:val="28"/>
        </w:rPr>
        <w:t xml:space="preserve">, тезисам присуща значительно более высокая степень концентрации материала.  </w:t>
      </w:r>
      <w:r>
        <w:rPr>
          <w:rFonts w:eastAsia="Calibri"/>
          <w:i/>
          <w:sz w:val="28"/>
          <w:szCs w:val="28"/>
        </w:rPr>
        <w:t>Во-вторых</w:t>
      </w:r>
      <w:r>
        <w:rPr>
          <w:rFonts w:eastAsia="Calibri"/>
          <w:sz w:val="28"/>
          <w:szCs w:val="28"/>
        </w:rPr>
        <w:t xml:space="preserve">, в тезисах отмечается преобладание выводов над общими рассуждениями. </w:t>
      </w:r>
      <w:r>
        <w:rPr>
          <w:rFonts w:eastAsia="Calibri"/>
          <w:i/>
          <w:sz w:val="28"/>
          <w:szCs w:val="28"/>
        </w:rPr>
        <w:t>В-третьих</w:t>
      </w:r>
      <w:r>
        <w:rPr>
          <w:rFonts w:eastAsia="Calibri"/>
          <w:sz w:val="28"/>
          <w:szCs w:val="28"/>
        </w:rPr>
        <w:t>, чаще всего тезисы записываются близко к оригинальному тексту, т.е. без использования прямого цитирования.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  <w:u w:val="single"/>
        </w:rPr>
        <w:t>Аннотация</w:t>
      </w:r>
      <w:r>
        <w:rPr>
          <w:rFonts w:eastAsia="Calibri"/>
          <w:sz w:val="28"/>
          <w:szCs w:val="28"/>
        </w:rPr>
        <w:t xml:space="preserve"> – краткое изложение основного содержания исходного источника информации, дающее о нем обобщенное представление. К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  <w:u w:val="single"/>
        </w:rPr>
        <w:t xml:space="preserve">Резюме </w:t>
      </w:r>
      <w:r>
        <w:rPr>
          <w:rFonts w:eastAsia="Calibri"/>
          <w:sz w:val="28"/>
          <w:szCs w:val="28"/>
        </w:rPr>
        <w:t>– краткая оценка изученного содержания исходного источника информации, полученная, прежде всего, на основе содержащихся в нем выводов. 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всего, выводов.  Но, как и в случае с аннотацией, резюме излагается своими словами – выдержки из оригинального текста в нем практически не встречаются.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  <w:u w:val="single"/>
        </w:rPr>
        <w:t>Конспект</w:t>
      </w:r>
      <w:r>
        <w:rPr>
          <w:rFonts w:eastAsia="Calibri"/>
          <w:sz w:val="28"/>
          <w:szCs w:val="28"/>
        </w:rPr>
        <w:t xml:space="preserve"> – сложная запись содержания исходного текста, включающая в себя заимствования (цитаты) наиболее примечательных мест в сочетании с планом источника, а также сжатый анализ записанного материала и выводы по нему.</w:t>
      </w:r>
    </w:p>
    <w:p>
      <w:pPr>
        <w:pStyle w:val="1"/>
        <w:numPr>
          <w:ilvl w:val="0"/>
          <w:numId w:val="2"/>
        </w:numPr>
        <w:spacing w:before="0" w:after="0"/>
        <w:jc w:val="center"/>
        <w:rPr>
          <w:rFonts w:ascii="Times New Roman" w:hAnsi="Times New Roman" w:eastAsia="Calibri" w:cs="Times New Roman"/>
          <w:iCs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Методические </w:t>
      </w:r>
      <w:bookmarkStart w:id="3" w:name="YANDEX_186"/>
      <w:bookmarkEnd w:id="3"/>
      <w:r>
        <w:rPr>
          <w:rFonts w:eastAsia="Calibri" w:cs="Times New Roman" w:ascii="Times New Roman" w:hAnsi="Times New Roman"/>
          <w:color w:val="000000"/>
        </w:rPr>
        <w:t>рекомендации по составлению</w:t>
      </w:r>
      <w:r>
        <w:rPr>
          <w:rFonts w:eastAsia="Calibri" w:cs="Times New Roman" w:ascii="Times New Roman" w:hAnsi="Times New Roman"/>
          <w:iCs/>
          <w:color w:val="000000"/>
        </w:rPr>
        <w:t xml:space="preserve"> конспекта (письменные ответы на вопросы)</w:t>
      </w:r>
    </w:p>
    <w:p>
      <w:pPr>
        <w:pStyle w:val="Normal"/>
        <w:ind w:firstLine="284"/>
        <w:jc w:val="center"/>
        <w:rPr>
          <w:rFonts w:eastAsia="Calibri"/>
          <w:iCs/>
          <w:color w:val="000000"/>
          <w:sz w:val="28"/>
          <w:szCs w:val="28"/>
        </w:rPr>
      </w:pPr>
      <w:r>
        <w:rPr>
          <w:rFonts w:eastAsia="Calibri"/>
          <w:iCs/>
          <w:color w:val="000000"/>
          <w:sz w:val="28"/>
          <w:szCs w:val="28"/>
        </w:rPr>
      </w:r>
    </w:p>
    <w:p>
      <w:pPr>
        <w:pStyle w:val="Normal"/>
        <w:ind w:firstLine="284"/>
        <w:jc w:val="both"/>
        <w:rPr/>
      </w:pPr>
      <w:r>
        <w:rPr>
          <w:rFonts w:eastAsia="Calibri"/>
          <w:color w:val="000000"/>
          <w:sz w:val="28"/>
          <w:szCs w:val="28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 Выделите главное, составьте план; Кратко сформулируйте основные положения текста, отметьте аргументацию автора;</w:t>
      </w:r>
    </w:p>
    <w:p>
      <w:pPr>
        <w:pStyle w:val="Normal"/>
        <w:ind w:firstLine="284"/>
        <w:jc w:val="both"/>
        <w:rPr/>
      </w:pPr>
      <w:r>
        <w:rPr>
          <w:rFonts w:eastAsia="Calibri"/>
          <w:color w:val="000000"/>
          <w:sz w:val="28"/>
          <w:szCs w:val="28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 Грамотно записывайте цитаты. Цитируя, учитывайте лаконичность, значимость мысли.</w:t>
      </w:r>
    </w:p>
    <w:p>
      <w:pPr>
        <w:pStyle w:val="Normal"/>
        <w:ind w:firstLine="284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>
      <w:pPr>
        <w:pStyle w:val="Normal"/>
        <w:rPr>
          <w:rFonts w:eastAsia="Calibri"/>
          <w:b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</w:r>
    </w:p>
    <w:p>
      <w:pPr>
        <w:pStyle w:val="Normal"/>
        <w:ind w:firstLine="284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>
      <w:pPr>
        <w:pStyle w:val="Normal"/>
        <w:ind w:firstLine="284"/>
        <w:jc w:val="both"/>
        <w:rPr/>
      </w:pP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 xml:space="preserve">«5» Полнота использования учебного материала. Объём конспекта – 1 тетрадная страница на один раздел или один лист формата А 4. Логика изложения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конспекта).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>
      <w:pPr>
        <w:pStyle w:val="Normal"/>
        <w:ind w:firstLine="284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«4» Использование учебного материала не полное. Объём конспекта – 1 тетрадная страница на один раздел или один лист формата А 4. Не достаточно логично изложено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>
      <w:pPr>
        <w:pStyle w:val="Normal"/>
        <w:ind w:firstLine="284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«3» Использование учебного материала не полное. Объём конспекта – менее одной тетрадной страницы на один раздел или один лист формата А 4. Не достаточно логично изложено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Не разборчивый почерк. </w:t>
      </w:r>
    </w:p>
    <w:p>
      <w:pPr>
        <w:pStyle w:val="Normal"/>
        <w:ind w:firstLine="284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«2» Использование учебного материала не полное. Объём конспекта – менее одной тетрадной страницы на один раздел или один лист формата А 4. Отсутствуют схемы, количество смысловых связей между понятиями. Отсутствует наглядность (наличие рисунков, символов, и пр.; аккуратность выполнения, читаемость конспекта. Допущены ошибки терминологические и орфографические. Отсутствие связанных предложений, только опорные сигналы – слова, словосочетания, символы. Не самостоятельность при составлении. Не разборчивый почерк. </w:t>
      </w:r>
    </w:p>
    <w:p>
      <w:pPr>
        <w:pStyle w:val="Normal"/>
        <w:jc w:val="both"/>
        <w:rPr>
          <w:rFonts w:eastAsia="Calibri"/>
        </w:rPr>
      </w:pPr>
      <w:r>
        <w:rPr>
          <w:sz w:val="28"/>
          <w:szCs w:val="28"/>
        </w:rPr>
        <w:t xml:space="preserve"> </w:t>
      </w:r>
      <w:r>
        <w:br w:type="page"/>
      </w:r>
    </w:p>
    <w:p>
      <w:pPr>
        <w:pStyle w:val="Normal"/>
        <w:jc w:val="center"/>
        <w:rPr>
          <w:rStyle w:val="FontStyle29"/>
          <w:b/>
          <w:b/>
          <w:sz w:val="28"/>
          <w:szCs w:val="28"/>
        </w:rPr>
      </w:pPr>
      <w:r>
        <w:rPr>
          <w:b/>
          <w:sz w:val="28"/>
          <w:szCs w:val="28"/>
        </w:rPr>
        <w:t>Тема 1.1. Сущность и функции страхования в рыночной экономике</w:t>
      </w:r>
    </w:p>
    <w:p>
      <w:pPr>
        <w:pStyle w:val="Normal"/>
        <w:rPr>
          <w:rStyle w:val="FontStyle29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Cs/>
          <w:sz w:val="28"/>
          <w:szCs w:val="28"/>
        </w:rPr>
        <w:t>Страховые фонды как экономическая категория общественного воспроизводства.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4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Понятие страхового фонда.</w:t>
      </w:r>
    </w:p>
    <w:p>
      <w:pPr>
        <w:pStyle w:val="Normal"/>
        <w:numPr>
          <w:ilvl w:val="0"/>
          <w:numId w:val="14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Способы создания страхового фонда.</w:t>
      </w:r>
    </w:p>
    <w:p>
      <w:pPr>
        <w:pStyle w:val="Normal"/>
        <w:numPr>
          <w:ilvl w:val="0"/>
          <w:numId w:val="14"/>
        </w:numPr>
        <w:rPr>
          <w:bCs/>
          <w:sz w:val="28"/>
          <w:szCs w:val="28"/>
        </w:rPr>
      </w:pPr>
      <w:r>
        <w:rPr>
          <w:rFonts w:eastAsia="Calibri"/>
          <w:iCs/>
          <w:sz w:val="28"/>
          <w:szCs w:val="28"/>
          <w:lang w:eastAsia="ru-RU"/>
        </w:rPr>
        <w:t>Основные организационные формы страховых фондов (</w:t>
      </w:r>
      <w:r>
        <w:rPr>
          <w:rFonts w:eastAsia="Calibri"/>
          <w:sz w:val="28"/>
          <w:szCs w:val="28"/>
          <w:lang w:eastAsia="ru-RU"/>
        </w:rPr>
        <w:t>государственные фонды; фонды самострахования; фонды страховых компаний)</w:t>
      </w:r>
      <w:r>
        <w:rPr>
          <w:rFonts w:eastAsia="Calibri"/>
          <w:iCs/>
          <w:sz w:val="28"/>
          <w:szCs w:val="28"/>
          <w:lang w:eastAsia="ru-RU"/>
        </w:rPr>
        <w:t>.</w:t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2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Основные международные термины, применяемые в практике страхования.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Перечислить и представить расшифровку основных международных терминов, применяемых в практике страхования.</w:t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ind w:left="36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rStyle w:val="FontStyle29"/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Тема 1.3 </w:t>
      </w:r>
      <w:r>
        <w:rPr>
          <w:b/>
          <w:bCs/>
          <w:sz w:val="28"/>
          <w:szCs w:val="28"/>
        </w:rPr>
        <w:t>Страховой риск</w:t>
      </w:r>
    </w:p>
    <w:p>
      <w:pPr>
        <w:pStyle w:val="Normal"/>
        <w:jc w:val="center"/>
        <w:rPr>
          <w:rStyle w:val="FontStyle29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3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Страхование в системе методов управления риском.</w:t>
      </w:r>
    </w:p>
    <w:p>
      <w:pPr>
        <w:pStyle w:val="Normal"/>
        <w:ind w:left="360" w:hang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4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Понятие управления риском.</w:t>
      </w:r>
    </w:p>
    <w:p>
      <w:pPr>
        <w:pStyle w:val="Normal"/>
        <w:numPr>
          <w:ilvl w:val="0"/>
          <w:numId w:val="4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Методы контроля риска (избежание риска, поглощение риска, минимизация риска, перенос риска).</w:t>
      </w:r>
    </w:p>
    <w:p>
      <w:pPr>
        <w:pStyle w:val="Normal"/>
        <w:numPr>
          <w:ilvl w:val="0"/>
          <w:numId w:val="4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Финансирование управления риском.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rStyle w:val="FontStyle29"/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>
        <w:rPr>
          <w:rStyle w:val="FontStyle29"/>
          <w:b/>
          <w:sz w:val="28"/>
          <w:szCs w:val="28"/>
        </w:rPr>
        <w:t xml:space="preserve">2.1. </w:t>
      </w:r>
      <w:r>
        <w:rPr>
          <w:b/>
          <w:sz w:val="28"/>
          <w:szCs w:val="28"/>
        </w:rPr>
        <w:t>Национальный страховой рынок</w:t>
      </w:r>
    </w:p>
    <w:p>
      <w:pPr>
        <w:pStyle w:val="Normal"/>
        <w:jc w:val="center"/>
        <w:rPr>
          <w:rStyle w:val="FontStyle29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4</w:t>
      </w:r>
    </w:p>
    <w:p>
      <w:pPr>
        <w:pStyle w:val="Normal"/>
        <w:jc w:val="center"/>
        <w:rPr>
          <w:rStyle w:val="FontStyle29"/>
          <w:b/>
          <w:b/>
          <w:sz w:val="28"/>
          <w:szCs w:val="28"/>
        </w:rPr>
      </w:pPr>
      <w:r>
        <w:rPr>
          <w:sz w:val="28"/>
          <w:szCs w:val="28"/>
        </w:rPr>
        <w:t>Страховая компания как первичное звено страхового рынка.</w:t>
      </w:r>
    </w:p>
    <w:p>
      <w:pPr>
        <w:pStyle w:val="Normal"/>
        <w:jc w:val="center"/>
        <w:rPr/>
      </w:pPr>
      <w:r>
        <w:rPr>
          <w:bCs/>
          <w:sz w:val="28"/>
          <w:szCs w:val="28"/>
        </w:rPr>
        <w:t>Примерный план:</w:t>
      </w:r>
    </w:p>
    <w:p>
      <w:pPr>
        <w:pStyle w:val="Normal"/>
        <w:shd w:val="clear" w:color="auto" w:fill="FFFFFF"/>
        <w:ind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1. Виды страховых компаний и порядок их создания.</w:t>
      </w:r>
    </w:p>
    <w:p>
      <w:pPr>
        <w:pStyle w:val="Normal"/>
        <w:shd w:val="clear" w:color="auto" w:fill="FFFFFF"/>
        <w:ind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2. Стратегия страховой компании.</w:t>
      </w:r>
    </w:p>
    <w:p>
      <w:pPr>
        <w:pStyle w:val="Normal"/>
        <w:shd w:val="clear" w:color="auto" w:fill="FFFFFF"/>
        <w:ind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3. Организационная структура и органы управления страховой компанией.</w:t>
      </w:r>
    </w:p>
    <w:p>
      <w:pPr>
        <w:pStyle w:val="Normal"/>
        <w:shd w:val="clear" w:color="auto" w:fill="FFFFFF"/>
        <w:ind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4. Ресурсы страховой компании.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5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Перспективы развития рынка страховых услуг России.</w:t>
      </w:r>
    </w:p>
    <w:p>
      <w:pPr>
        <w:pStyle w:val="Normal"/>
        <w:ind w:left="360" w:hang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3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Состояние страхового рынка в России.</w:t>
      </w:r>
    </w:p>
    <w:p>
      <w:pPr>
        <w:pStyle w:val="Normal"/>
        <w:numPr>
          <w:ilvl w:val="0"/>
          <w:numId w:val="13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Проблемы р</w:t>
      </w:r>
      <w:r>
        <w:rPr>
          <w:rFonts w:eastAsia="Calibri"/>
          <w:sz w:val="28"/>
          <w:szCs w:val="28"/>
          <w:lang w:eastAsia="ru-RU"/>
        </w:rPr>
        <w:t>азвития страхового рынка.</w:t>
      </w:r>
    </w:p>
    <w:p>
      <w:pPr>
        <w:pStyle w:val="Normal"/>
        <w:numPr>
          <w:ilvl w:val="0"/>
          <w:numId w:val="13"/>
        </w:numPr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Направления развития страхового рынка.</w:t>
      </w:r>
    </w:p>
    <w:p>
      <w:pPr>
        <w:pStyle w:val="Normal"/>
        <w:numPr>
          <w:ilvl w:val="0"/>
          <w:numId w:val="13"/>
        </w:numPr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Основными задачами по развитию страхового рынка России.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Тема 2.2. </w:t>
      </w:r>
      <w:r>
        <w:rPr>
          <w:b/>
          <w:bCs/>
          <w:sz w:val="28"/>
          <w:szCs w:val="28"/>
        </w:rPr>
        <w:t>Организационно-правовые аспекты страховой деятельности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6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Антикризисное регулирование и банкротство страховых компаний.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7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Мониторинг финансовой деятельности страховых компаний.</w:t>
      </w:r>
    </w:p>
    <w:p>
      <w:pPr>
        <w:pStyle w:val="Normal"/>
        <w:numPr>
          <w:ilvl w:val="0"/>
          <w:numId w:val="7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Антикризисное регулирование страховой деятельности.</w:t>
      </w:r>
    </w:p>
    <w:p>
      <w:pPr>
        <w:pStyle w:val="Normal"/>
        <w:numPr>
          <w:ilvl w:val="0"/>
          <w:numId w:val="7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Банкротство (несостоятельность) страховых компаний.</w:t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7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Страховое мошенничество и меры по его предупреждению.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8"/>
        </w:numPr>
        <w:rPr>
          <w:bCs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Сущность мошенничества в страховании.</w:t>
      </w:r>
    </w:p>
    <w:p>
      <w:pPr>
        <w:pStyle w:val="Normal"/>
        <w:numPr>
          <w:ilvl w:val="0"/>
          <w:numId w:val="18"/>
        </w:numPr>
        <w:rPr>
          <w:bCs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Основные формы страховых мошенничеств.</w:t>
      </w:r>
    </w:p>
    <w:p>
      <w:pPr>
        <w:pStyle w:val="Normal"/>
        <w:numPr>
          <w:ilvl w:val="0"/>
          <w:numId w:val="18"/>
        </w:numPr>
        <w:rPr>
          <w:bCs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Причины и последствия мошенничества в страховании.</w:t>
      </w:r>
    </w:p>
    <w:p>
      <w:pPr>
        <w:pStyle w:val="Normal"/>
        <w:numPr>
          <w:ilvl w:val="0"/>
          <w:numId w:val="18"/>
        </w:numPr>
        <w:rPr>
          <w:bCs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Меры для борьбы с мошенничеством.</w:t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8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Особенности регулирования страховой деятельности в странах Европейского союза (ЕС).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1"/>
        </w:numPr>
        <w:rPr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Формирование единого страхового рынка.</w:t>
      </w:r>
    </w:p>
    <w:p>
      <w:pPr>
        <w:pStyle w:val="Normal"/>
        <w:numPr>
          <w:ilvl w:val="0"/>
          <w:numId w:val="11"/>
        </w:numPr>
        <w:rPr>
          <w:sz w:val="28"/>
          <w:szCs w:val="28"/>
        </w:rPr>
      </w:pPr>
      <w:r>
        <w:rPr>
          <w:rFonts w:eastAsia="Calibri"/>
          <w:bCs/>
          <w:iCs/>
          <w:sz w:val="28"/>
          <w:szCs w:val="28"/>
          <w:lang w:eastAsia="ru-RU"/>
        </w:rPr>
        <w:t>Директивы Европейского союза.</w:t>
      </w:r>
      <w:r>
        <w:rPr>
          <w:rFonts w:eastAsia="Calibri"/>
          <w:iCs/>
          <w:sz w:val="28"/>
          <w:szCs w:val="28"/>
          <w:lang w:eastAsia="ru-RU"/>
        </w:rPr>
        <w:t xml:space="preserve"> </w:t>
      </w:r>
    </w:p>
    <w:p>
      <w:pPr>
        <w:pStyle w:val="Normal"/>
        <w:numPr>
          <w:ilvl w:val="0"/>
          <w:numId w:val="11"/>
        </w:numPr>
        <w:rPr>
          <w:sz w:val="28"/>
          <w:szCs w:val="28"/>
        </w:rPr>
      </w:pPr>
      <w:r>
        <w:rPr>
          <w:rFonts w:eastAsia="Calibri"/>
          <w:iCs/>
          <w:sz w:val="28"/>
          <w:szCs w:val="28"/>
          <w:lang w:eastAsia="ru-RU"/>
        </w:rPr>
        <w:t>Организация страхового надзора.</w:t>
      </w:r>
    </w:p>
    <w:p>
      <w:pPr>
        <w:pStyle w:val="Normal"/>
        <w:numPr>
          <w:ilvl w:val="0"/>
          <w:numId w:val="11"/>
        </w:numPr>
        <w:rPr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Требования к выдаче единой лицензии.</w:t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Тема 3.1. Социальное страхование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9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Социальная защита населения как система управления социальными рисками.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20"/>
        </w:numPr>
        <w:rPr>
          <w:b/>
          <w:b/>
          <w:sz w:val="28"/>
          <w:szCs w:val="28"/>
        </w:rPr>
      </w:pPr>
      <w:r>
        <w:rPr>
          <w:sz w:val="28"/>
          <w:szCs w:val="28"/>
        </w:rPr>
        <w:t>Понятие и классификация социальных рисков.</w:t>
      </w:r>
    </w:p>
    <w:p>
      <w:pPr>
        <w:pStyle w:val="Normal"/>
        <w:numPr>
          <w:ilvl w:val="0"/>
          <w:numId w:val="20"/>
        </w:numPr>
        <w:rPr>
          <w:b/>
          <w:b/>
          <w:sz w:val="28"/>
          <w:szCs w:val="28"/>
        </w:rPr>
      </w:pPr>
      <w:r>
        <w:rPr>
          <w:sz w:val="28"/>
          <w:szCs w:val="28"/>
        </w:rPr>
        <w:t>Управление социальными рисками.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10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Система выплат по социальному страхованию.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Современная классификация социальных выплат.</w:t>
      </w:r>
    </w:p>
    <w:p>
      <w:pPr>
        <w:pStyle w:val="Normal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Выплаты по обязательному социальному страхованию на случай временной нетрудоспособности и в связи с материнством.</w:t>
      </w:r>
    </w:p>
    <w:p>
      <w:pPr>
        <w:pStyle w:val="Normal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Выплаты по обязательному социальному страхованию от несчастных  случаев на производстве и профессиональных заболеваний.</w:t>
      </w:r>
    </w:p>
    <w:p>
      <w:pPr>
        <w:pStyle w:val="Normal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Выплаты по обязательному пенсионному страхованию.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Тема 3.2. Имущественное страхование юридических лиц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11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Страхование грузов. Порядок проведения. Варианты условий страхования.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Понятие страхования грузов, причины его использования.</w:t>
      </w:r>
    </w:p>
    <w:p>
      <w:pPr>
        <w:pStyle w:val="Normal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Классификация грузов.</w:t>
      </w:r>
    </w:p>
    <w:p>
      <w:pPr>
        <w:pStyle w:val="Normal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Договор страхования грузов.</w:t>
      </w:r>
    </w:p>
    <w:p>
      <w:pPr>
        <w:pStyle w:val="Normal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Исключения из состава страхового покрытия.</w:t>
      </w:r>
    </w:p>
    <w:p>
      <w:pPr>
        <w:pStyle w:val="Normal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Определение страховой стоимости, страховой суммы, страхового тарифа.</w:t>
      </w:r>
    </w:p>
    <w:p>
      <w:pPr>
        <w:pStyle w:val="Normal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Определение ущерба от страхового случая и страховой выплаты.</w:t>
      </w:r>
    </w:p>
    <w:p>
      <w:pPr>
        <w:pStyle w:val="Normal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Страхование гражданской ответственности экспедитора и перевозчика.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12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Сельскохозяйственное страхование.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Понятие и сущность сельскохозяйственного страхования.</w:t>
      </w:r>
    </w:p>
    <w:p>
      <w:pPr>
        <w:pStyle w:val="Normal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Определение ущерба при сельскохозяйственном страховании.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13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Страхование интеллектуальной собственности.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Интеллектуальная собственность как объект страхования.</w:t>
      </w:r>
    </w:p>
    <w:p>
      <w:pPr>
        <w:pStyle w:val="Normal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Риски, сопровождающие объект интеллектуальной собственности.</w:t>
      </w:r>
    </w:p>
    <w:p>
      <w:pPr>
        <w:pStyle w:val="Normal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Страхование объектов интеллектуальной собственности.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14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Экологическое страхование.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Условия осуществления экологического страхования в РФ.</w:t>
      </w:r>
    </w:p>
    <w:p>
      <w:pPr>
        <w:pStyle w:val="Normal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Экологическое страхование за рубежом.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3.4. </w:t>
      </w:r>
      <w:r>
        <w:rPr>
          <w:b/>
          <w:sz w:val="28"/>
          <w:szCs w:val="28"/>
        </w:rPr>
        <w:t>Личное страхование.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15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Страхование жизни заемщика ипотечного кредита.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Особенности данного вида страхования.</w:t>
      </w:r>
    </w:p>
    <w:p>
      <w:pPr>
        <w:pStyle w:val="Normal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  <w:highlight w:val="white"/>
        </w:rPr>
        <w:t>Аспекты, влияющие на стоимость страхования жизни при кредите или ипотеке.</w:t>
      </w:r>
    </w:p>
    <w:p>
      <w:pPr>
        <w:pStyle w:val="Normal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  <w:highlight w:val="white"/>
        </w:rPr>
        <w:t>Необходимые документы и порядок заключение договора страхования.</w:t>
      </w:r>
    </w:p>
    <w:p>
      <w:pPr>
        <w:pStyle w:val="Normal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  <w:highlight w:val="white"/>
        </w:rPr>
        <w:t>Страховые случаи выплаты по страховке.</w:t>
      </w:r>
    </w:p>
    <w:p>
      <w:pPr>
        <w:pStyle w:val="Normal"/>
        <w:rPr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3.7. Добровольное медицинское страхование</w:t>
      </w:r>
    </w:p>
    <w:p>
      <w:pPr>
        <w:pStyle w:val="13"/>
        <w:rPr>
          <w:sz w:val="28"/>
        </w:rPr>
      </w:pPr>
      <w:r>
        <w:rPr>
          <w:sz w:val="28"/>
        </w:rPr>
        <w:t>Самостоятельная работа № 16</w:t>
      </w:r>
    </w:p>
    <w:p>
      <w:pPr>
        <w:pStyle w:val="13"/>
        <w:rPr>
          <w:b w:val="false"/>
          <w:b w:val="false"/>
          <w:bCs/>
          <w:sz w:val="28"/>
        </w:rPr>
      </w:pPr>
      <w:r>
        <w:rPr>
          <w:b w:val="false"/>
          <w:sz w:val="28"/>
        </w:rPr>
        <w:t>Отличие обязательного медицинского страхования от добровольного.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Методика выполнения: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Используя материал лекций, учебных пособий, интернет-ресурсов, заполните таблицу, беря за основу определенные признаки.</w:t>
      </w:r>
    </w:p>
    <w:tbl>
      <w:tblPr>
        <w:tblW w:w="9581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89"/>
        <w:gridCol w:w="3190"/>
        <w:gridCol w:w="3202"/>
      </w:tblGrid>
      <w:tr>
        <w:trPr/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Критерий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Обязательное страхование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Добровольное  страхование</w:t>
            </w:r>
          </w:p>
        </w:tc>
      </w:tr>
      <w:tr>
        <w:trPr/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Разновидности данного вида страхования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страхования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определяются условия страхования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Предоставляемые виды медицинской помощи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средств (кто делает взносы)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17</w:t>
      </w:r>
    </w:p>
    <w:p>
      <w:pPr>
        <w:pStyle w:val="Normal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Страхование граждан, выезжающих за рубеж.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Понятие и краткая характеристика данного вида страхования.</w:t>
      </w:r>
    </w:p>
    <w:p>
      <w:pPr>
        <w:pStyle w:val="Normal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Страхование медицинских расходов.</w:t>
      </w:r>
      <w:r>
        <w:rPr>
          <w:color w:val="000000"/>
          <w:sz w:val="28"/>
          <w:szCs w:val="28"/>
        </w:rPr>
        <w:t xml:space="preserve"> </w:t>
      </w:r>
    </w:p>
    <w:p>
      <w:pPr>
        <w:pStyle w:val="Normal"/>
        <w:numPr>
          <w:ilvl w:val="0"/>
          <w:numId w:val="10"/>
        </w:numPr>
        <w:rPr>
          <w:sz w:val="28"/>
          <w:szCs w:val="28"/>
        </w:rPr>
      </w:pPr>
      <w:r>
        <w:rPr>
          <w:rStyle w:val="Mwheadline"/>
          <w:color w:val="000000"/>
          <w:sz w:val="28"/>
          <w:szCs w:val="28"/>
        </w:rPr>
        <w:t>Страхование от отмены поездки.</w:t>
      </w:r>
      <w:r>
        <w:rPr>
          <w:color w:val="000000"/>
          <w:sz w:val="28"/>
          <w:szCs w:val="28"/>
        </w:rPr>
        <w:t xml:space="preserve"> </w:t>
      </w:r>
    </w:p>
    <w:p>
      <w:pPr>
        <w:pStyle w:val="Normal"/>
        <w:numPr>
          <w:ilvl w:val="0"/>
          <w:numId w:val="10"/>
        </w:numPr>
        <w:rPr>
          <w:sz w:val="28"/>
          <w:szCs w:val="28"/>
        </w:rPr>
      </w:pPr>
      <w:r>
        <w:rPr>
          <w:rStyle w:val="Mwheadline"/>
          <w:color w:val="000000"/>
          <w:sz w:val="28"/>
          <w:szCs w:val="28"/>
        </w:rPr>
        <w:t>Страхование багажа выезжающего за границу.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3.8. Страхование ответственности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18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Страхование профессиональной ответственности.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21"/>
        </w:numPr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/>
      </w:pPr>
      <w:r>
        <w:rPr>
          <w:sz w:val="28"/>
          <w:szCs w:val="28"/>
        </w:rPr>
        <w:t xml:space="preserve">Назначение и особенности </w:t>
      </w:r>
      <w:r>
        <w:rPr>
          <w:bCs/>
          <w:sz w:val="28"/>
          <w:szCs w:val="28"/>
        </w:rPr>
        <w:t xml:space="preserve">страхования профессиональной ответственности. </w:t>
      </w:r>
    </w:p>
    <w:p>
      <w:pPr>
        <w:pStyle w:val="Normal"/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Виды предоставляемой страховой защиты.</w:t>
      </w:r>
    </w:p>
    <w:p>
      <w:pPr>
        <w:pStyle w:val="Normal"/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Ответственность страховщика.</w:t>
      </w:r>
    </w:p>
    <w:p>
      <w:pPr>
        <w:pStyle w:val="Normal"/>
        <w:numPr>
          <w:ilvl w:val="0"/>
          <w:numId w:val="21"/>
        </w:numPr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Размер страховой суммы и страховой выплаты. Порядок выплаты страховой суммы.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19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Страхование гражданской ответственности предприятий – источников повышенной опасности.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8"/>
        </w:num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Специфика гражданской ответственности предприятий</w:t>
      </w:r>
      <w:r>
        <w:rPr>
          <w:bCs/>
        </w:rPr>
        <w:t xml:space="preserve"> – </w:t>
      </w:r>
      <w:r>
        <w:rPr>
          <w:rFonts w:eastAsia="Calibri"/>
          <w:sz w:val="28"/>
          <w:szCs w:val="28"/>
          <w:lang w:eastAsia="ru-RU"/>
        </w:rPr>
        <w:t>источников повышенной опасности.</w:t>
      </w:r>
    </w:p>
    <w:p>
      <w:pPr>
        <w:pStyle w:val="Normal"/>
        <w:numPr>
          <w:ilvl w:val="0"/>
          <w:numId w:val="8"/>
        </w:numPr>
        <w:rPr/>
      </w:pPr>
      <w:r>
        <w:rPr>
          <w:rFonts w:eastAsia="Calibri"/>
          <w:sz w:val="28"/>
          <w:szCs w:val="28"/>
          <w:lang w:eastAsia="ru-RU"/>
        </w:rPr>
        <w:t>Объект и субъекты страхования, страховой случай.</w:t>
      </w:r>
    </w:p>
    <w:p>
      <w:pPr>
        <w:pStyle w:val="Normal"/>
        <w:numPr>
          <w:ilvl w:val="0"/>
          <w:numId w:val="8"/>
        </w:num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Виды опасных объектов.</w:t>
      </w:r>
    </w:p>
    <w:p>
      <w:pPr>
        <w:pStyle w:val="Normal"/>
        <w:numPr>
          <w:ilvl w:val="0"/>
          <w:numId w:val="8"/>
        </w:num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Размеры страховой суммы.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>
          <w:b/>
          <w:sz w:val="28"/>
          <w:szCs w:val="28"/>
        </w:rPr>
        <w:t>Тема 4.2.</w:t>
      </w:r>
      <w:r>
        <w:rPr>
          <w:b/>
          <w:bCs/>
          <w:sz w:val="28"/>
          <w:szCs w:val="28"/>
        </w:rPr>
        <w:t xml:space="preserve"> Понятие и механизм перестрахования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20 - 21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Квотное перестрахование. Эксцедентное перестрахование.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Понятие пропорционального страхования.</w:t>
      </w:r>
    </w:p>
    <w:p>
      <w:pPr>
        <w:pStyle w:val="Normal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Квотное перестрахование.</w:t>
      </w:r>
    </w:p>
    <w:p>
      <w:pPr>
        <w:pStyle w:val="Normal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Перестрахование эксцедента сумм.</w:t>
      </w:r>
    </w:p>
    <w:p>
      <w:pPr>
        <w:pStyle w:val="Normal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Квотно-эксцедентное перестрахование.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5.1. Мировое страховое хозяйство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22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Обзор страхового законодательства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зарубежных стран.</w:t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5"/>
        </w:num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Сущность государственного регулирования страхования.</w:t>
      </w:r>
    </w:p>
    <w:p>
      <w:pPr>
        <w:pStyle w:val="Normal"/>
        <w:numPr>
          <w:ilvl w:val="0"/>
          <w:numId w:val="5"/>
        </w:num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Общие особенности государственного регулирования страхования в странах Организации экономического сотрудничества и развития (ОЭСР).</w:t>
      </w:r>
    </w:p>
    <w:p>
      <w:pPr>
        <w:pStyle w:val="Normal"/>
        <w:numPr>
          <w:ilvl w:val="0"/>
          <w:numId w:val="5"/>
        </w:num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Система налогового регулирования страховой деятельности.</w:t>
      </w:r>
    </w:p>
    <w:p>
      <w:pPr>
        <w:pStyle w:val="Normal"/>
        <w:rPr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sectPr>
      <w:footerReference w:type="default" r:id="rId29"/>
      <w:footerReference w:type="first" r:id="rId30"/>
      <w:footnotePr>
        <w:numFmt w:val="decimal"/>
      </w:footnotePr>
      <w:type w:val="nextPage"/>
      <w:pgSz w:w="11906" w:h="16838"/>
      <w:pgMar w:left="1701" w:right="850" w:header="0" w:top="1134" w:footer="708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18</w:t>
    </w:r>
    <w:r>
      <w:rPr/>
      <w:fldChar w:fldCharType="end"/>
    </w:r>
  </w:p>
  <w:p>
    <w:pPr>
      <w:pStyle w:val="Style2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32"/>
        <w:rPr/>
      </w:pPr>
      <w:r>
        <w:rPr>
          <w:rStyle w:val="Style19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>Берутся сведения, указанные по данному виду деятельности в п. 4.2.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  <w:rFonts w:cs="OpenSymbol;Arial Unicode M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;Arial Unicode MS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;Arial Unicode M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8"/>
        <w:szCs w:val="28"/>
        <w:rFonts w:cs="OpenSymbol;Arial Unicode M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;Arial Unicode MS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;Arial Unicode M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8"/>
        <w:szCs w:val="28"/>
        <w:rFonts w:cs="OpenSymbol;Arial Unicode M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;Arial Unicode MS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;Arial Unicode M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rFonts w:eastAsia="Calibri"/>
        <w:lang w:eastAsia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color w:val="000000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iCs/>
        <w:rFonts w:eastAsia="Calibri"/>
        <w:lang w:eastAsia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sz w:val="28"/>
        <w:b/>
        <w:szCs w:val="28"/>
        <w:rFonts w:eastAsia="Calibri"/>
        <w:lang w:eastAsia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sz w:val="28"/>
        <w:b/>
        <w:szCs w:val="28"/>
        <w:iCs/>
        <w:rFonts w:eastAsia="Calibri"/>
        <w:lang w:eastAsia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>
        <w:sz w:val="28"/>
        <w:b w:val="false"/>
        <w:szCs w:val="28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  <w:rPr>
        <w:sz w:val="28"/>
        <w:b w:val="false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sz w:val="28"/>
        <w:b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bCs/>
        <w:rFonts w:eastAsia="Times New Roman" w:cs="Times New Roman"/>
        <w:color w:val="000000"/>
        <w:lang w:eastAsia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bidi="ar-SA" w:val="ru-RU" w:eastAsia="zh-CN"/>
    </w:rPr>
  </w:style>
  <w:style w:type="paragraph" w:styleId="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Normal"/>
    <w:next w:val="Normal"/>
    <w:qFormat/>
    <w:pPr>
      <w:keepNext w:val="true"/>
      <w:keepLines/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Normal"/>
    <w:next w:val="Normal"/>
    <w:qFormat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Normal"/>
    <w:next w:val="Normal"/>
    <w:qFormat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Symbol" w:hAnsi="Symbol" w:cs="OpenSymbol;Arial Unicode MS"/>
      <w:sz w:val="28"/>
      <w:szCs w:val="28"/>
    </w:rPr>
  </w:style>
  <w:style w:type="character" w:styleId="WW8Num1z1" w:customStyle="1">
    <w:name w:val="WW8Num1z1"/>
    <w:qFormat/>
    <w:rPr>
      <w:rFonts w:ascii="OpenSymbol;Arial Unicode MS" w:hAnsi="OpenSymbol;Arial Unicode MS" w:cs="OpenSymbol;Arial Unicode MS"/>
    </w:rPr>
  </w:style>
  <w:style w:type="character" w:styleId="WW8Num2z0" w:customStyle="1">
    <w:name w:val="WW8Num2z0"/>
    <w:qFormat/>
    <w:rPr>
      <w:rFonts w:ascii="Times New Roman" w:hAnsi="Times New Roman" w:cs="Times New Roman"/>
      <w:bCs/>
      <w:sz w:val="28"/>
      <w:szCs w:val="28"/>
    </w:rPr>
  </w:style>
  <w:style w:type="character" w:styleId="WW8Num3z0" w:customStyle="1">
    <w:name w:val="WW8Num3z0"/>
    <w:qFormat/>
    <w:rPr>
      <w:rFonts w:ascii="Times New Roman" w:hAnsi="Times New Roman" w:cs="Times New Roman"/>
      <w:bCs/>
      <w:sz w:val="28"/>
      <w:szCs w:val="28"/>
    </w:rPr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>
      <w:rFonts w:eastAsia="Calibri"/>
      <w:sz w:val="28"/>
      <w:szCs w:val="28"/>
      <w:lang w:eastAsia="ru-RU"/>
    </w:rPr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/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>
      <w:b w:val="false"/>
    </w:rPr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>
      <w:color w:val="000000"/>
      <w:sz w:val="28"/>
      <w:szCs w:val="28"/>
    </w:rPr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>
      <w:rFonts w:eastAsia="Calibri"/>
      <w:iCs/>
      <w:sz w:val="28"/>
      <w:szCs w:val="28"/>
      <w:lang w:eastAsia="ru-RU"/>
    </w:rPr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/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/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>
      <w:b w:val="false"/>
    </w:rPr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/>
  </w:style>
  <w:style w:type="character" w:styleId="WW8Num25z1" w:customStyle="1">
    <w:name w:val="WW8Num25z1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0" w:customStyle="1">
    <w:name w:val="WW8Num26z0"/>
    <w:qFormat/>
    <w:rPr>
      <w:rFonts w:eastAsia="Calibri"/>
      <w:sz w:val="28"/>
      <w:szCs w:val="28"/>
      <w:lang w:eastAsia="ru-RU"/>
    </w:rPr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>
      <w:rFonts w:eastAsia="Calibri"/>
      <w:iCs/>
      <w:sz w:val="28"/>
      <w:szCs w:val="28"/>
      <w:lang w:eastAsia="ru-RU"/>
    </w:rPr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>
      <w:b w:val="false"/>
    </w:rPr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/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0" w:customStyle="1">
    <w:name w:val="WW8Num30z0"/>
    <w:qFormat/>
    <w:rPr/>
  </w:style>
  <w:style w:type="character" w:styleId="WW8Num30z1" w:customStyle="1">
    <w:name w:val="WW8Num30z1"/>
    <w:qFormat/>
    <w:rPr/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>
      <w:sz w:val="28"/>
      <w:szCs w:val="28"/>
    </w:rPr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/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>
      <w:b w:val="false"/>
      <w:sz w:val="28"/>
      <w:szCs w:val="28"/>
    </w:rPr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/>
  </w:style>
  <w:style w:type="character" w:styleId="WW8Num34z1" w:customStyle="1">
    <w:name w:val="WW8Num34z1"/>
    <w:qFormat/>
    <w:rPr/>
  </w:style>
  <w:style w:type="character" w:styleId="WW8Num34z2" w:customStyle="1">
    <w:name w:val="WW8Num34z2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WW8Num35z0" w:customStyle="1">
    <w:name w:val="WW8Num35z0"/>
    <w:qFormat/>
    <w:rPr>
      <w:b w:val="false"/>
    </w:rPr>
  </w:style>
  <w:style w:type="character" w:styleId="WW8Num35z1" w:customStyle="1">
    <w:name w:val="WW8Num35z1"/>
    <w:qFormat/>
    <w:rPr/>
  </w:style>
  <w:style w:type="character" w:styleId="WW8Num35z2" w:customStyle="1">
    <w:name w:val="WW8Num35z2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6z0" w:customStyle="1">
    <w:name w:val="WW8Num36z0"/>
    <w:qFormat/>
    <w:rPr>
      <w:rFonts w:ascii="Times New Roman" w:hAnsi="Times New Roman" w:cs="Times New Roman"/>
      <w:sz w:val="28"/>
      <w:szCs w:val="28"/>
    </w:rPr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>
      <w:b w:val="false"/>
    </w:rPr>
  </w:style>
  <w:style w:type="character" w:styleId="WW8Num37z1" w:customStyle="1">
    <w:name w:val="WW8Num37z1"/>
    <w:qFormat/>
    <w:rPr/>
  </w:style>
  <w:style w:type="character" w:styleId="WW8Num37z2" w:customStyle="1">
    <w:name w:val="WW8Num37z2"/>
    <w:qFormat/>
    <w:rPr/>
  </w:style>
  <w:style w:type="character" w:styleId="WW8Num37z3" w:customStyle="1">
    <w:name w:val="WW8Num37z3"/>
    <w:qFormat/>
    <w:rPr/>
  </w:style>
  <w:style w:type="character" w:styleId="WW8Num37z4" w:customStyle="1">
    <w:name w:val="WW8Num37z4"/>
    <w:qFormat/>
    <w:rPr/>
  </w:style>
  <w:style w:type="character" w:styleId="WW8Num37z5" w:customStyle="1">
    <w:name w:val="WW8Num37z5"/>
    <w:qFormat/>
    <w:rPr/>
  </w:style>
  <w:style w:type="character" w:styleId="WW8Num37z6" w:customStyle="1">
    <w:name w:val="WW8Num37z6"/>
    <w:qFormat/>
    <w:rPr/>
  </w:style>
  <w:style w:type="character" w:styleId="WW8Num37z7" w:customStyle="1">
    <w:name w:val="WW8Num37z7"/>
    <w:qFormat/>
    <w:rPr/>
  </w:style>
  <w:style w:type="character" w:styleId="WW8Num37z8" w:customStyle="1">
    <w:name w:val="WW8Num37z8"/>
    <w:qFormat/>
    <w:rPr/>
  </w:style>
  <w:style w:type="character" w:styleId="WW8Num38z0" w:customStyle="1">
    <w:name w:val="WW8Num38z0"/>
    <w:qFormat/>
    <w:rPr>
      <w:rFonts w:ascii="Times New Roman" w:hAnsi="Times New Roman" w:eastAsia="Times New Roman" w:cs="Times New Roman"/>
      <w:bCs/>
      <w:color w:val="000000"/>
      <w:sz w:val="28"/>
      <w:szCs w:val="28"/>
      <w:lang w:eastAsia="ru-RU"/>
    </w:rPr>
  </w:style>
  <w:style w:type="character" w:styleId="WW8Num38z1" w:customStyle="1">
    <w:name w:val="WW8Num38z1"/>
    <w:qFormat/>
    <w:rPr/>
  </w:style>
  <w:style w:type="character" w:styleId="WW8Num38z2" w:customStyle="1">
    <w:name w:val="WW8Num38z2"/>
    <w:qFormat/>
    <w:rPr/>
  </w:style>
  <w:style w:type="character" w:styleId="WW8Num38z3" w:customStyle="1">
    <w:name w:val="WW8Num38z3"/>
    <w:qFormat/>
    <w:rPr/>
  </w:style>
  <w:style w:type="character" w:styleId="WW8Num38z4" w:customStyle="1">
    <w:name w:val="WW8Num38z4"/>
    <w:qFormat/>
    <w:rPr/>
  </w:style>
  <w:style w:type="character" w:styleId="WW8Num38z5" w:customStyle="1">
    <w:name w:val="WW8Num38z5"/>
    <w:qFormat/>
    <w:rPr/>
  </w:style>
  <w:style w:type="character" w:styleId="WW8Num38z6" w:customStyle="1">
    <w:name w:val="WW8Num38z6"/>
    <w:qFormat/>
    <w:rPr/>
  </w:style>
  <w:style w:type="character" w:styleId="WW8Num38z7" w:customStyle="1">
    <w:name w:val="WW8Num38z7"/>
    <w:qFormat/>
    <w:rPr/>
  </w:style>
  <w:style w:type="character" w:styleId="WW8Num38z8" w:customStyle="1">
    <w:name w:val="WW8Num38z8"/>
    <w:qFormat/>
    <w:rPr/>
  </w:style>
  <w:style w:type="character" w:styleId="WW8Num39z0" w:customStyle="1">
    <w:name w:val="WW8Num39z0"/>
    <w:qFormat/>
    <w:rPr/>
  </w:style>
  <w:style w:type="character" w:styleId="WW8Num39z1" w:customStyle="1">
    <w:name w:val="WW8Num39z1"/>
    <w:qFormat/>
    <w:rPr/>
  </w:style>
  <w:style w:type="character" w:styleId="WW8Num39z2" w:customStyle="1">
    <w:name w:val="WW8Num39z2"/>
    <w:qFormat/>
    <w:rPr/>
  </w:style>
  <w:style w:type="character" w:styleId="WW8Num39z3" w:customStyle="1">
    <w:name w:val="WW8Num39z3"/>
    <w:qFormat/>
    <w:rPr/>
  </w:style>
  <w:style w:type="character" w:styleId="WW8Num39z4" w:customStyle="1">
    <w:name w:val="WW8Num39z4"/>
    <w:qFormat/>
    <w:rPr/>
  </w:style>
  <w:style w:type="character" w:styleId="WW8Num39z5" w:customStyle="1">
    <w:name w:val="WW8Num39z5"/>
    <w:qFormat/>
    <w:rPr/>
  </w:style>
  <w:style w:type="character" w:styleId="WW8Num39z6" w:customStyle="1">
    <w:name w:val="WW8Num39z6"/>
    <w:qFormat/>
    <w:rPr/>
  </w:style>
  <w:style w:type="character" w:styleId="WW8Num39z7" w:customStyle="1">
    <w:name w:val="WW8Num39z7"/>
    <w:qFormat/>
    <w:rPr/>
  </w:style>
  <w:style w:type="character" w:styleId="WW8Num39z8" w:customStyle="1">
    <w:name w:val="WW8Num39z8"/>
    <w:qFormat/>
    <w:rPr/>
  </w:style>
  <w:style w:type="character" w:styleId="WW8Num40z0" w:customStyle="1">
    <w:name w:val="WW8Num40z0"/>
    <w:qFormat/>
    <w:rPr/>
  </w:style>
  <w:style w:type="character" w:styleId="WW8Num40z1" w:customStyle="1">
    <w:name w:val="WW8Num40z1"/>
    <w:qFormat/>
    <w:rPr/>
  </w:style>
  <w:style w:type="character" w:styleId="WW8Num40z2" w:customStyle="1">
    <w:name w:val="WW8Num40z2"/>
    <w:qFormat/>
    <w:rPr/>
  </w:style>
  <w:style w:type="character" w:styleId="WW8Num40z3" w:customStyle="1">
    <w:name w:val="WW8Num40z3"/>
    <w:qFormat/>
    <w:rPr/>
  </w:style>
  <w:style w:type="character" w:styleId="WW8Num40z4" w:customStyle="1">
    <w:name w:val="WW8Num40z4"/>
    <w:qFormat/>
    <w:rPr/>
  </w:style>
  <w:style w:type="character" w:styleId="WW8Num40z5" w:customStyle="1">
    <w:name w:val="WW8Num40z5"/>
    <w:qFormat/>
    <w:rPr/>
  </w:style>
  <w:style w:type="character" w:styleId="WW8Num40z6" w:customStyle="1">
    <w:name w:val="WW8Num40z6"/>
    <w:qFormat/>
    <w:rPr/>
  </w:style>
  <w:style w:type="character" w:styleId="WW8Num40z7" w:customStyle="1">
    <w:name w:val="WW8Num40z7"/>
    <w:qFormat/>
    <w:rPr/>
  </w:style>
  <w:style w:type="character" w:styleId="WW8Num40z8" w:customStyle="1">
    <w:name w:val="WW8Num40z8"/>
    <w:qFormat/>
    <w:rPr/>
  </w:style>
  <w:style w:type="character" w:styleId="WW8Num41z0" w:customStyle="1">
    <w:name w:val="WW8Num41z0"/>
    <w:qFormat/>
    <w:rPr/>
  </w:style>
  <w:style w:type="character" w:styleId="WW8Num41z1" w:customStyle="1">
    <w:name w:val="WW8Num41z1"/>
    <w:qFormat/>
    <w:rPr/>
  </w:style>
  <w:style w:type="character" w:styleId="WW8Num41z2" w:customStyle="1">
    <w:name w:val="WW8Num41z2"/>
    <w:qFormat/>
    <w:rPr/>
  </w:style>
  <w:style w:type="character" w:styleId="WW8Num41z3" w:customStyle="1">
    <w:name w:val="WW8Num41z3"/>
    <w:qFormat/>
    <w:rPr/>
  </w:style>
  <w:style w:type="character" w:styleId="WW8Num41z4" w:customStyle="1">
    <w:name w:val="WW8Num41z4"/>
    <w:qFormat/>
    <w:rPr/>
  </w:style>
  <w:style w:type="character" w:styleId="WW8Num41z5" w:customStyle="1">
    <w:name w:val="WW8Num41z5"/>
    <w:qFormat/>
    <w:rPr/>
  </w:style>
  <w:style w:type="character" w:styleId="WW8Num41z6" w:customStyle="1">
    <w:name w:val="WW8Num41z6"/>
    <w:qFormat/>
    <w:rPr/>
  </w:style>
  <w:style w:type="character" w:styleId="WW8Num41z7" w:customStyle="1">
    <w:name w:val="WW8Num41z7"/>
    <w:qFormat/>
    <w:rPr/>
  </w:style>
  <w:style w:type="character" w:styleId="WW8Num41z8" w:customStyle="1">
    <w:name w:val="WW8Num41z8"/>
    <w:qFormat/>
    <w:rPr/>
  </w:style>
  <w:style w:type="character" w:styleId="11" w:customStyle="1">
    <w:name w:val="Заголовок 1 Знак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31" w:customStyle="1">
    <w:name w:val="Заголовок 3 Знак"/>
    <w:qFormat/>
    <w:rPr>
      <w:rFonts w:ascii="Cambria" w:hAnsi="Cambria" w:eastAsia="Times New Roman" w:cs="Times New Roman"/>
      <w:b/>
      <w:bCs/>
      <w:color w:val="4F81BD"/>
      <w:sz w:val="20"/>
      <w:szCs w:val="20"/>
    </w:rPr>
  </w:style>
  <w:style w:type="character" w:styleId="41" w:customStyle="1">
    <w:name w:val="Заголовок 4 Знак"/>
    <w:qFormat/>
    <w:rPr>
      <w:rFonts w:ascii="Cambria" w:hAnsi="Cambria" w:eastAsia="Times New Roman" w:cs="Times New Roman"/>
      <w:b/>
      <w:bCs/>
      <w:i/>
      <w:iCs/>
      <w:color w:val="4F81BD"/>
      <w:sz w:val="20"/>
      <w:szCs w:val="20"/>
    </w:rPr>
  </w:style>
  <w:style w:type="character" w:styleId="51" w:customStyle="1">
    <w:name w:val="Заголовок 5 Знак"/>
    <w:qFormat/>
    <w:rPr>
      <w:rFonts w:ascii="Times New Roman" w:hAnsi="Times New Roman" w:eastAsia="Times New Roman" w:cs="Times New Roman"/>
      <w:b/>
      <w:szCs w:val="20"/>
    </w:rPr>
  </w:style>
  <w:style w:type="character" w:styleId="Style9" w:customStyle="1">
    <w:name w:val="Название Знак"/>
    <w:qFormat/>
    <w:rPr>
      <w:rFonts w:ascii="Times New Roman" w:hAnsi="Times New Roman" w:eastAsia="Times New Roman" w:cs="Times New Roman"/>
      <w:sz w:val="28"/>
      <w:szCs w:val="20"/>
    </w:rPr>
  </w:style>
  <w:style w:type="character" w:styleId="Style10" w:customStyle="1">
    <w:name w:val="Выделение жирным"/>
    <w:qFormat/>
    <w:rPr>
      <w:b/>
      <w:bCs/>
    </w:rPr>
  </w:style>
  <w:style w:type="character" w:styleId="Style11" w:customStyle="1">
    <w:name w:val="Интернет-ссылка"/>
    <w:rPr>
      <w:color w:val="004B99"/>
      <w:u w:val="single"/>
    </w:rPr>
  </w:style>
  <w:style w:type="character" w:styleId="FontStyle29" w:customStyle="1">
    <w:name w:val="Font Style29"/>
    <w:qFormat/>
    <w:rPr>
      <w:rFonts w:ascii="Times New Roman" w:hAnsi="Times New Roman" w:cs="Times New Roman"/>
      <w:sz w:val="18"/>
      <w:szCs w:val="18"/>
    </w:rPr>
  </w:style>
  <w:style w:type="character" w:styleId="FontStyle35" w:customStyle="1">
    <w:name w:val="Font Style35"/>
    <w:qFormat/>
    <w:rPr>
      <w:rFonts w:ascii="Times New Roman" w:hAnsi="Times New Roman" w:cs="Times New Roman"/>
      <w:b/>
      <w:bCs/>
      <w:sz w:val="18"/>
      <w:szCs w:val="18"/>
    </w:rPr>
  </w:style>
  <w:style w:type="character" w:styleId="FontStyle36" w:customStyle="1">
    <w:name w:val="Font Style36"/>
    <w:qFormat/>
    <w:rPr>
      <w:rFonts w:ascii="Cambria" w:hAnsi="Cambria" w:cs="Cambria"/>
      <w:spacing w:val="20"/>
      <w:sz w:val="20"/>
      <w:szCs w:val="20"/>
    </w:rPr>
  </w:style>
  <w:style w:type="character" w:styleId="FontStyle21" w:customStyle="1">
    <w:name w:val="Font Style21"/>
    <w:qFormat/>
    <w:rPr>
      <w:rFonts w:ascii="Cambria" w:hAnsi="Cambria" w:cs="Cambria"/>
      <w:spacing w:val="20"/>
      <w:sz w:val="20"/>
      <w:szCs w:val="20"/>
    </w:rPr>
  </w:style>
  <w:style w:type="character" w:styleId="FontStyle39" w:customStyle="1">
    <w:name w:val="Font Style39"/>
    <w:qFormat/>
    <w:rPr>
      <w:rFonts w:ascii="Cambria" w:hAnsi="Cambria" w:cs="Cambria"/>
      <w:b/>
      <w:bCs/>
      <w:spacing w:val="20"/>
      <w:sz w:val="20"/>
      <w:szCs w:val="20"/>
    </w:rPr>
  </w:style>
  <w:style w:type="character" w:styleId="21" w:customStyle="1">
    <w:name w:val="Заголовок 2 Знак"/>
    <w:qFormat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22" w:customStyle="1">
    <w:name w:val="Основной текст с отступом 2 Знак"/>
    <w:qFormat/>
    <w:rPr>
      <w:rFonts w:ascii="Times New Roman" w:hAnsi="Times New Roman" w:cs="Times New Roman"/>
      <w:sz w:val="24"/>
      <w:szCs w:val="24"/>
    </w:rPr>
  </w:style>
  <w:style w:type="character" w:styleId="FontStyle14" w:customStyle="1">
    <w:name w:val="Font Style14"/>
    <w:qFormat/>
    <w:rPr>
      <w:rFonts w:ascii="Times New Roman" w:hAnsi="Times New Roman" w:cs="Times New Roman"/>
      <w:sz w:val="20"/>
      <w:szCs w:val="20"/>
    </w:rPr>
  </w:style>
  <w:style w:type="character" w:styleId="FontStyle16" w:customStyle="1">
    <w:name w:val="Font Style16"/>
    <w:qFormat/>
    <w:rPr>
      <w:rFonts w:ascii="Times New Roman" w:hAnsi="Times New Roman" w:cs="Times New Roman"/>
      <w:sz w:val="20"/>
      <w:szCs w:val="20"/>
    </w:rPr>
  </w:style>
  <w:style w:type="character" w:styleId="FontStyle13" w:customStyle="1">
    <w:name w:val="Font Style13"/>
    <w:qFormat/>
    <w:rPr>
      <w:rFonts w:ascii="Times New Roman" w:hAnsi="Times New Roman" w:cs="Times New Roman"/>
      <w:b/>
      <w:bCs/>
      <w:sz w:val="20"/>
      <w:szCs w:val="20"/>
    </w:rPr>
  </w:style>
  <w:style w:type="character" w:styleId="Style12" w:customStyle="1">
    <w:name w:val="Верхний колонтитул Знак"/>
    <w:qFormat/>
    <w:rPr>
      <w:rFonts w:ascii="Times New Roman" w:hAnsi="Times New Roman" w:eastAsia="Times New Roman" w:cs="Times New Roman"/>
      <w:sz w:val="20"/>
      <w:szCs w:val="20"/>
    </w:rPr>
  </w:style>
  <w:style w:type="character" w:styleId="Style13" w:customStyle="1">
    <w:name w:val="Нижний колонтитул Знак"/>
    <w:qFormat/>
    <w:rPr>
      <w:rFonts w:ascii="Times New Roman" w:hAnsi="Times New Roman" w:eastAsia="Times New Roman" w:cs="Times New Roman"/>
      <w:sz w:val="20"/>
      <w:szCs w:val="20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Appleconvertedspace" w:customStyle="1">
    <w:name w:val="apple-converted-space"/>
    <w:basedOn w:val="DefaultParagraphFont"/>
    <w:qFormat/>
    <w:rPr/>
  </w:style>
  <w:style w:type="character" w:styleId="Mwheadline" w:customStyle="1">
    <w:name w:val="mw-headline"/>
    <w:basedOn w:val="DefaultParagraphFont"/>
    <w:qFormat/>
    <w:rPr/>
  </w:style>
  <w:style w:type="character" w:styleId="Style14" w:customStyle="1">
    <w:name w:val="Посещённая гиперссылка"/>
    <w:rPr>
      <w:color w:val="800080"/>
      <w:u w:val="single"/>
    </w:rPr>
  </w:style>
  <w:style w:type="character" w:styleId="Style15" w:customStyle="1">
    <w:name w:val="Текст выноски Знак"/>
    <w:basedOn w:val="DefaultParagraphFont"/>
    <w:link w:val="af5"/>
    <w:uiPriority w:val="99"/>
    <w:semiHidden/>
    <w:qFormat/>
    <w:rsid w:val="00bf4c5f"/>
    <w:rPr>
      <w:rFonts w:ascii="Tahoma" w:hAnsi="Tahoma" w:eastAsia="Times New Roman" w:cs="Tahoma"/>
      <w:sz w:val="16"/>
      <w:szCs w:val="16"/>
      <w:lang w:bidi="ar-SA"/>
    </w:rPr>
  </w:style>
  <w:style w:type="character" w:styleId="Style16">
    <w:name w:val="Выделение"/>
    <w:qFormat/>
    <w:rsid w:val="00bf4c5f"/>
    <w:rPr>
      <w:rFonts w:ascii="Times New Roman" w:hAnsi="Times New Roman" w:cs="Times New Roman"/>
      <w:i/>
      <w:iCs w:val="false"/>
    </w:rPr>
  </w:style>
  <w:style w:type="character" w:styleId="Style17" w:customStyle="1">
    <w:name w:val="Текст сноски Знак"/>
    <w:basedOn w:val="DefaultParagraphFont"/>
    <w:link w:val="af8"/>
    <w:uiPriority w:val="99"/>
    <w:qFormat/>
    <w:rsid w:val="00bf4c5f"/>
    <w:rPr>
      <w:rFonts w:ascii="Times New Roman" w:hAnsi="Times New Roman" w:eastAsia="Times New Roman" w:cs="Times New Roman"/>
      <w:sz w:val="20"/>
      <w:szCs w:val="20"/>
      <w:lang w:val="x-none" w:eastAsia="x-none" w:bidi="ar-SA"/>
    </w:rPr>
  </w:style>
  <w:style w:type="character" w:styleId="Style18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link w:val="14"/>
    <w:uiPriority w:val="99"/>
    <w:qFormat/>
    <w:rsid w:val="00bf4c5f"/>
    <w:rPr>
      <w:rFonts w:cs="Times New Roman"/>
      <w:vertAlign w:val="superscript"/>
    </w:rPr>
  </w:style>
  <w:style w:type="character" w:styleId="Style19">
    <w:name w:val="Символ сноски"/>
    <w:qFormat/>
    <w:rPr/>
  </w:style>
  <w:style w:type="character" w:styleId="Style20">
    <w:name w:val="Привязка концевой сноски"/>
    <w:rPr>
      <w:vertAlign w:val="superscript"/>
    </w:rPr>
  </w:style>
  <w:style w:type="character" w:styleId="Style21">
    <w:name w:val="Символ концевой сноски"/>
    <w:qFormat/>
    <w:rPr/>
  </w:style>
  <w:style w:type="paragraph" w:styleId="Style22" w:customStyle="1">
    <w:name w:val="Заголовок"/>
    <w:basedOn w:val="Normal"/>
    <w:next w:val="Style23"/>
    <w:qFormat/>
    <w:pPr>
      <w:jc w:val="center"/>
    </w:pPr>
    <w:rPr>
      <w:sz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Mang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12">
    <w:name w:val="TOC 1"/>
    <w:basedOn w:val="Normal"/>
    <w:next w:val="Normal"/>
    <w:pPr/>
    <w:rPr>
      <w:sz w:val="24"/>
      <w:szCs w:val="24"/>
    </w:rPr>
  </w:style>
  <w:style w:type="paragraph" w:styleId="13" w:customStyle="1">
    <w:name w:val="Стиль1"/>
    <w:basedOn w:val="Normal"/>
    <w:qFormat/>
    <w:pPr>
      <w:jc w:val="center"/>
    </w:pPr>
    <w:rPr>
      <w:b/>
      <w:sz w:val="32"/>
      <w:szCs w:val="28"/>
    </w:rPr>
  </w:style>
  <w:style w:type="paragraph" w:styleId="14" w:customStyle="1">
    <w:name w:val="1"/>
    <w:basedOn w:val="Normal"/>
    <w:qFormat/>
    <w:pPr>
      <w:jc w:val="center"/>
    </w:pPr>
    <w:rPr>
      <w:b/>
      <w:bCs/>
      <w:sz w:val="28"/>
      <w:szCs w:val="28"/>
    </w:rPr>
  </w:style>
  <w:style w:type="paragraph" w:styleId="Style61" w:customStyle="1">
    <w:name w:val="Style6"/>
    <w:basedOn w:val="Normal"/>
    <w:qFormat/>
    <w:pPr>
      <w:widowControl w:val="false"/>
      <w:spacing w:lineRule="exact" w:line="288"/>
      <w:ind w:firstLine="365"/>
      <w:jc w:val="both"/>
    </w:pPr>
    <w:rPr>
      <w:sz w:val="24"/>
      <w:szCs w:val="24"/>
    </w:rPr>
  </w:style>
  <w:style w:type="paragraph" w:styleId="Style201" w:customStyle="1">
    <w:name w:val="Style20"/>
    <w:basedOn w:val="Normal"/>
    <w:qFormat/>
    <w:pPr>
      <w:widowControl w:val="false"/>
      <w:spacing w:lineRule="exact" w:line="278"/>
      <w:ind w:firstLine="1906"/>
    </w:pPr>
    <w:rPr>
      <w:sz w:val="24"/>
      <w:szCs w:val="24"/>
    </w:rPr>
  </w:style>
  <w:style w:type="paragraph" w:styleId="Style51" w:customStyle="1">
    <w:name w:val="Style5"/>
    <w:basedOn w:val="Normal"/>
    <w:qFormat/>
    <w:pPr>
      <w:widowControl w:val="false"/>
    </w:pPr>
    <w:rPr>
      <w:rFonts w:ascii="Cambria" w:hAnsi="Cambria" w:cs="Cambria"/>
      <w:sz w:val="24"/>
      <w:szCs w:val="24"/>
    </w:rPr>
  </w:style>
  <w:style w:type="paragraph" w:styleId="BodyTextIndent2">
    <w:name w:val="Body Text Indent 2"/>
    <w:basedOn w:val="Normal"/>
    <w:next w:val="Normal"/>
    <w:qFormat/>
    <w:pPr/>
    <w:rPr>
      <w:rFonts w:eastAsia="Calibri"/>
      <w:sz w:val="24"/>
      <w:szCs w:val="24"/>
    </w:rPr>
  </w:style>
  <w:style w:type="paragraph" w:styleId="Style27" w:customStyle="1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8">
    <w:name w:val="Header"/>
    <w:basedOn w:val="Normal"/>
    <w:pPr/>
    <w:rPr/>
  </w:style>
  <w:style w:type="paragraph" w:styleId="Style29">
    <w:name w:val="Footer"/>
    <w:basedOn w:val="Normal"/>
    <w:pPr/>
    <w:rPr/>
  </w:style>
  <w:style w:type="paragraph" w:styleId="ConsPlusNormal" w:customStyle="1">
    <w:name w:val="ConsPlusNormal"/>
    <w:qFormat/>
    <w:pPr>
      <w:widowControl w:val="false"/>
      <w:suppressAutoHyphens w:val="true"/>
      <w:bidi w:val="0"/>
      <w:jc w:val="left"/>
    </w:pPr>
    <w:rPr>
      <w:rFonts w:ascii="Arial" w:hAnsi="Arial" w:eastAsia="Times New Roman" w:cs="Arial"/>
      <w:color w:val="auto"/>
      <w:kern w:val="0"/>
      <w:sz w:val="20"/>
      <w:szCs w:val="20"/>
      <w:lang w:bidi="ar-SA" w:val="ru-RU" w:eastAsia="zh-CN"/>
    </w:rPr>
  </w:style>
  <w:style w:type="paragraph" w:styleId="Default" w:customStyle="1">
    <w:name w:val="Default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4"/>
      <w:lang w:bidi="ar-SA" w:val="ru-RU" w:eastAsia="zh-CN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bidi="ar-SA" w:val="ru-RU" w:eastAsia="zh-CN"/>
    </w:rPr>
  </w:style>
  <w:style w:type="paragraph" w:styleId="Style30" w:customStyle="1">
    <w:name w:val="Содержимое таблицы"/>
    <w:basedOn w:val="Normal"/>
    <w:qFormat/>
    <w:pPr>
      <w:suppressLineNumbers/>
    </w:pPr>
    <w:rPr/>
  </w:style>
  <w:style w:type="paragraph" w:styleId="Style31" w:customStyle="1">
    <w:name w:val="Заголовок таблицы"/>
    <w:basedOn w:val="Style30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af6"/>
    <w:uiPriority w:val="99"/>
    <w:semiHidden/>
    <w:unhideWhenUsed/>
    <w:qFormat/>
    <w:rsid w:val="00bf4c5f"/>
    <w:pPr/>
    <w:rPr>
      <w:rFonts w:ascii="Tahoma" w:hAnsi="Tahoma" w:cs="Tahoma"/>
      <w:sz w:val="16"/>
      <w:szCs w:val="16"/>
    </w:rPr>
  </w:style>
  <w:style w:type="paragraph" w:styleId="Style32">
    <w:name w:val="Footnote Text"/>
    <w:basedOn w:val="Normal"/>
    <w:link w:val="af9"/>
    <w:uiPriority w:val="99"/>
    <w:qFormat/>
    <w:rsid w:val="00bf4c5f"/>
    <w:pPr>
      <w:suppressAutoHyphens w:val="false"/>
    </w:pPr>
    <w:rPr>
      <w:lang w:val="x-none" w:eastAsia="x-none"/>
    </w:rPr>
  </w:style>
  <w:style w:type="paragraph" w:styleId="15" w:customStyle="1">
    <w:name w:val="Знак сноски1"/>
    <w:basedOn w:val="Normal"/>
    <w:link w:val="afa"/>
    <w:uiPriority w:val="99"/>
    <w:qFormat/>
    <w:rsid w:val="00bf4c5f"/>
    <w:pPr>
      <w:suppressAutoHyphens w:val="false"/>
    </w:pPr>
    <w:rPr>
      <w:rFonts w:ascii="Liberation Serif" w:hAnsi="Liberation Serif" w:eastAsia="NSimSun"/>
      <w:sz w:val="24"/>
      <w:szCs w:val="24"/>
      <w:vertAlign w:val="superscript"/>
      <w:lang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numbering" w:styleId="WW8Num7" w:customStyle="1">
    <w:name w:val="WW8Num7"/>
    <w:qFormat/>
  </w:style>
  <w:style w:type="numbering" w:styleId="WW8Num8" w:customStyle="1">
    <w:name w:val="WW8Num8"/>
    <w:qFormat/>
  </w:style>
  <w:style w:type="numbering" w:styleId="WW8Num9" w:customStyle="1">
    <w:name w:val="WW8Num9"/>
    <w:qFormat/>
  </w:style>
  <w:style w:type="numbering" w:styleId="WW8Num10" w:customStyle="1">
    <w:name w:val="WW8Num10"/>
    <w:qFormat/>
  </w:style>
  <w:style w:type="numbering" w:styleId="WW8Num11" w:customStyle="1">
    <w:name w:val="WW8Num11"/>
    <w:qFormat/>
  </w:style>
  <w:style w:type="numbering" w:styleId="WW8Num12" w:customStyle="1">
    <w:name w:val="WW8Num12"/>
    <w:qFormat/>
  </w:style>
  <w:style w:type="numbering" w:styleId="WW8Num13" w:customStyle="1">
    <w:name w:val="WW8Num13"/>
    <w:qFormat/>
  </w:style>
  <w:style w:type="numbering" w:styleId="WW8Num14" w:customStyle="1">
    <w:name w:val="WW8Num14"/>
    <w:qFormat/>
  </w:style>
  <w:style w:type="numbering" w:styleId="WW8Num15" w:customStyle="1">
    <w:name w:val="WW8Num15"/>
    <w:qFormat/>
  </w:style>
  <w:style w:type="numbering" w:styleId="WW8Num16" w:customStyle="1">
    <w:name w:val="WW8Num16"/>
    <w:qFormat/>
  </w:style>
  <w:style w:type="numbering" w:styleId="WW8Num17" w:customStyle="1">
    <w:name w:val="WW8Num17"/>
    <w:qFormat/>
  </w:style>
  <w:style w:type="numbering" w:styleId="WW8Num18" w:customStyle="1">
    <w:name w:val="WW8Num18"/>
    <w:qFormat/>
  </w:style>
  <w:style w:type="numbering" w:styleId="WW8Num19" w:customStyle="1">
    <w:name w:val="WW8Num19"/>
    <w:qFormat/>
  </w:style>
  <w:style w:type="numbering" w:styleId="WW8Num20" w:customStyle="1">
    <w:name w:val="WW8Num20"/>
    <w:qFormat/>
  </w:style>
  <w:style w:type="numbering" w:styleId="WW8Num21" w:customStyle="1">
    <w:name w:val="WW8Num21"/>
    <w:qFormat/>
  </w:style>
  <w:style w:type="numbering" w:styleId="WW8Num22" w:customStyle="1">
    <w:name w:val="WW8Num22"/>
    <w:qFormat/>
  </w:style>
  <w:style w:type="numbering" w:styleId="WW8Num23" w:customStyle="1">
    <w:name w:val="WW8Num23"/>
    <w:qFormat/>
  </w:style>
  <w:style w:type="numbering" w:styleId="WW8Num24" w:customStyle="1">
    <w:name w:val="WW8Num24"/>
    <w:qFormat/>
  </w:style>
  <w:style w:type="numbering" w:styleId="WW8Num25" w:customStyle="1">
    <w:name w:val="WW8Num25"/>
    <w:qFormat/>
  </w:style>
  <w:style w:type="numbering" w:styleId="WW8Num26" w:customStyle="1">
    <w:name w:val="WW8Num26"/>
    <w:qFormat/>
  </w:style>
  <w:style w:type="numbering" w:styleId="WW8Num27" w:customStyle="1">
    <w:name w:val="WW8Num27"/>
    <w:qFormat/>
  </w:style>
  <w:style w:type="numbering" w:styleId="WW8Num28" w:customStyle="1">
    <w:name w:val="WW8Num28"/>
    <w:qFormat/>
  </w:style>
  <w:style w:type="numbering" w:styleId="WW8Num29" w:customStyle="1">
    <w:name w:val="WW8Num29"/>
    <w:qFormat/>
  </w:style>
  <w:style w:type="numbering" w:styleId="WW8Num30" w:customStyle="1">
    <w:name w:val="WW8Num30"/>
    <w:qFormat/>
  </w:style>
  <w:style w:type="numbering" w:styleId="WW8Num31" w:customStyle="1">
    <w:name w:val="WW8Num31"/>
    <w:qFormat/>
  </w:style>
  <w:style w:type="numbering" w:styleId="WW8Num32" w:customStyle="1">
    <w:name w:val="WW8Num32"/>
    <w:qFormat/>
  </w:style>
  <w:style w:type="numbering" w:styleId="WW8Num33" w:customStyle="1">
    <w:name w:val="WW8Num33"/>
    <w:qFormat/>
  </w:style>
  <w:style w:type="numbering" w:styleId="WW8Num34" w:customStyle="1">
    <w:name w:val="WW8Num34"/>
    <w:qFormat/>
  </w:style>
  <w:style w:type="numbering" w:styleId="WW8Num35" w:customStyle="1">
    <w:name w:val="WW8Num35"/>
    <w:qFormat/>
  </w:style>
  <w:style w:type="numbering" w:styleId="WW8Num36" w:customStyle="1">
    <w:name w:val="WW8Num36"/>
    <w:qFormat/>
  </w:style>
  <w:style w:type="numbering" w:styleId="WW8Num37" w:customStyle="1">
    <w:name w:val="WW8Num37"/>
    <w:qFormat/>
  </w:style>
  <w:style w:type="numbering" w:styleId="WW8Num38" w:customStyle="1">
    <w:name w:val="WW8Num38"/>
    <w:qFormat/>
  </w:style>
  <w:style w:type="numbering" w:styleId="WW8Num39" w:customStyle="1">
    <w:name w:val="WW8Num39"/>
    <w:qFormat/>
  </w:style>
  <w:style w:type="numbering" w:styleId="WW8Num40" w:customStyle="1">
    <w:name w:val="WW8Num40"/>
    <w:qFormat/>
  </w:style>
  <w:style w:type="numbering" w:styleId="WW8Num41" w:customStyle="1">
    <w:name w:val="WW8Num41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yperlink" Target="https://book.ru/book/929763" TargetMode="External"/><Relationship Id="rId5" Type="http://schemas.openxmlformats.org/officeDocument/2006/relationships/hyperlink" Target="https://book.ru/book/929763" TargetMode="External"/><Relationship Id="rId6" Type="http://schemas.openxmlformats.org/officeDocument/2006/relationships/hyperlink" Target="https://book.ru/book/929763" TargetMode="External"/><Relationship Id="rId7" Type="http://schemas.openxmlformats.org/officeDocument/2006/relationships/hyperlink" Target="https://book.ru/book/929763" TargetMode="External"/><Relationship Id="rId8" Type="http://schemas.openxmlformats.org/officeDocument/2006/relationships/hyperlink" Target="http://5fan.ru/wievjob.php?id=32175-" TargetMode="External"/><Relationship Id="rId9" Type="http://schemas.openxmlformats.org/officeDocument/2006/relationships/hyperlink" Target="http://5fan.ru/" TargetMode="External"/><Relationship Id="rId10" Type="http://schemas.openxmlformats.org/officeDocument/2006/relationships/hyperlink" Target="https://biblio-online.ru/bcode/433601" TargetMode="External"/><Relationship Id="rId11" Type="http://schemas.openxmlformats.org/officeDocument/2006/relationships/hyperlink" Target="https://book.ru/book/929763" TargetMode="External"/><Relationship Id="rId12" Type="http://schemas.openxmlformats.org/officeDocument/2006/relationships/hyperlink" Target="https://book.ru/book/929763" TargetMode="External"/><Relationship Id="rId13" Type="http://schemas.openxmlformats.org/officeDocument/2006/relationships/hyperlink" Target="http://risk-insurance.ru/insurance-management/managing-security/fraud-in-insurance.html-" TargetMode="External"/><Relationship Id="rId14" Type="http://schemas.openxmlformats.org/officeDocument/2006/relationships/hyperlink" Target="https://biblio-online.ru/bcode/433601" TargetMode="External"/><Relationship Id="rId15" Type="http://schemas.openxmlformats.org/officeDocument/2006/relationships/hyperlink" Target="https://book.ru/book/926148" TargetMode="External"/><Relationship Id="rId16" Type="http://schemas.openxmlformats.org/officeDocument/2006/relationships/hyperlink" Target="https://book.ru/book/926148" TargetMode="External"/><Relationship Id="rId17" Type="http://schemas.openxmlformats.org/officeDocument/2006/relationships/hyperlink" Target="https://book.ru/book/929763" TargetMode="External"/><Relationship Id="rId18" Type="http://schemas.openxmlformats.org/officeDocument/2006/relationships/hyperlink" Target="https://book.ru/book/929763" TargetMode="External"/><Relationship Id="rId19" Type="http://schemas.openxmlformats.org/officeDocument/2006/relationships/hyperlink" Target="https://book.ru/book/929763" TargetMode="External"/><Relationship Id="rId20" Type="http://schemas.openxmlformats.org/officeDocument/2006/relationships/hyperlink" Target="https://book.ru/book/929763" TargetMode="External"/><Relationship Id="rId21" Type="http://schemas.openxmlformats.org/officeDocument/2006/relationships/hyperlink" Target="http://lifenofear.com/lichnoe-strahovanie/zhizni/pri-ipoteke-i-kredite.html-" TargetMode="External"/><Relationship Id="rId22" Type="http://schemas.openxmlformats.org/officeDocument/2006/relationships/hyperlink" Target="https://book.ru/book/929763" TargetMode="External"/><Relationship Id="rId23" Type="http://schemas.openxmlformats.org/officeDocument/2006/relationships/hyperlink" Target="https://book.ru/book/929763" TargetMode="External"/><Relationship Id="rId24" Type="http://schemas.openxmlformats.org/officeDocument/2006/relationships/hyperlink" Target="https://ru.wikipedia.org/wiki/" TargetMode="External"/><Relationship Id="rId25" Type="http://schemas.openxmlformats.org/officeDocument/2006/relationships/hyperlink" Target="https://book.ru/book/929763" TargetMode="External"/><Relationship Id="rId26" Type="http://schemas.openxmlformats.org/officeDocument/2006/relationships/hyperlink" Target="https://book.ru/book/929763" TargetMode="External"/><Relationship Id="rId27" Type="http://schemas.openxmlformats.org/officeDocument/2006/relationships/hyperlink" Target="https://book.ru/book/929763" TargetMode="External"/><Relationship Id="rId28" Type="http://schemas.openxmlformats.org/officeDocument/2006/relationships/hyperlink" Target="https://book.ru/book/929763" TargetMode="External"/><Relationship Id="rId29" Type="http://schemas.openxmlformats.org/officeDocument/2006/relationships/footer" Target="footer1.xml"/><Relationship Id="rId30" Type="http://schemas.openxmlformats.org/officeDocument/2006/relationships/footer" Target="footer2.xml"/><Relationship Id="rId31" Type="http://schemas.openxmlformats.org/officeDocument/2006/relationships/footnotes" Target="footnotes.xml"/><Relationship Id="rId32" Type="http://schemas.openxmlformats.org/officeDocument/2006/relationships/numbering" Target="numbering.xml"/><Relationship Id="rId33" Type="http://schemas.openxmlformats.org/officeDocument/2006/relationships/fontTable" Target="fontTable.xml"/><Relationship Id="rId34" Type="http://schemas.openxmlformats.org/officeDocument/2006/relationships/settings" Target="settings.xml"/><Relationship Id="rId3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LibreOffice/6.3.2.2$Windows_x86 LibreOffice_project/98b30e735bda24bc04ab42594c85f7fd8be07b9c</Application>
  <Pages>18</Pages>
  <Words>3394</Words>
  <Characters>26170</Characters>
  <CharactersWithSpaces>29272</CharactersWithSpaces>
  <Paragraphs>403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2022-09-11T06:58:00Z</dcterms:created>
  <dc:creator>k304</dc:creator>
  <dc:description/>
  <dc:language>ru-RU</dc:language>
  <cp:lastModifiedBy/>
  <dcterms:modified xsi:type="dcterms:W3CDTF">2025-03-04T10:53:38Z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