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suppressLineNumbers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МИНИСТЕРСТВО ОБРАЗОВАНИЯ ВОЛОГОДСКОЙ ОБЛАСТИ</w:t>
      </w:r>
    </w:p>
    <w:p>
      <w:pPr>
        <w:pStyle w:val="Normal"/>
        <w:keepNext w:val="true"/>
        <w:suppressLineNumbers/>
        <w:spacing w:lineRule="auto" w:line="240" w:before="0" w:after="0"/>
        <w:jc w:val="center"/>
        <w:rPr>
          <w:rFonts w:ascii="Times New Roman" w:hAnsi="Times New Roman" w:eastAsia="Times New Roman"/>
          <w:sz w:val="20"/>
          <w:szCs w:val="20"/>
          <w:vertAlign w:val="superscript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БПОУ ВО «ВОЛОГОДСКИЙ АГРАРНО-ЭКОНОМИЧЕСКИЙ КОЛЛЕДЖ»</w:t>
      </w:r>
    </w:p>
    <w:p>
      <w:pPr>
        <w:pStyle w:val="Normal"/>
        <w:keepNext w:val="true"/>
        <w:suppressLineNumbers/>
        <w:spacing w:lineRule="auto" w:line="36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keepNext w:val="true"/>
        <w:suppressLineNumbers/>
        <w:spacing w:lineRule="auto" w:line="36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keepNext w:val="true"/>
        <w:suppressLineNumbers/>
        <w:spacing w:lineRule="auto" w:line="36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32"/>
          <w:szCs w:val="32"/>
          <w:lang w:eastAsia="ru-RU"/>
        </w:rPr>
      </w:pPr>
      <w:r>
        <w:rPr>
          <w:rFonts w:eastAsia="Times New Roman" w:ascii="Times New Roman" w:hAnsi="Times New Roman"/>
          <w:b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  <w:t>МЕТОДИЧЕСКИЕ РЕКОМЕНДАЦИИ ДЛЯ ВЫПОЛНЕНИЯ ВНЕАУДИТОРНОЙ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  <w:t xml:space="preserve"> </w:t>
      </w:r>
      <w:r>
        <w:rPr>
          <w:rFonts w:eastAsia="Times New Roman" w:ascii="Times New Roman" w:hAnsi="Times New Roman"/>
          <w:b/>
          <w:sz w:val="28"/>
          <w:szCs w:val="28"/>
        </w:rPr>
        <w:t xml:space="preserve">(САМОСТОЯТЕЛЬНОЙ) РАБОТЫ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u w:val="single"/>
        </w:rPr>
      </w:pPr>
      <w:r>
        <w:rPr>
          <w:rFonts w:eastAsia="Times New Roman" w:ascii="Times New Roman" w:hAnsi="Times New Roman"/>
          <w:sz w:val="28"/>
          <w:szCs w:val="28"/>
          <w:u w:val="single"/>
        </w:rPr>
        <w:t>ПМ 01 Ведение расчетных операций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vertAlign w:val="superscript"/>
        </w:rPr>
      </w:pPr>
      <w:r>
        <w:rPr>
          <w:rFonts w:eastAsia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ascii="Times New Roman" w:hAnsi="Times New Roman"/>
          <w:sz w:val="28"/>
          <w:szCs w:val="28"/>
          <w:vertAlign w:val="superscript"/>
        </w:rPr>
        <w:t>(наименование дисциплины)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u w:val="single"/>
        </w:rPr>
      </w:pPr>
      <w:r>
        <w:rPr>
          <w:rFonts w:eastAsia="Times New Roman" w:ascii="Times New Roman" w:hAnsi="Times New Roman"/>
          <w:sz w:val="28"/>
          <w:szCs w:val="28"/>
          <w:u w:val="single"/>
        </w:rPr>
        <w:t xml:space="preserve">38.02.07. Банковское дело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vertAlign w:val="superscript"/>
        </w:rPr>
      </w:pPr>
      <w:r>
        <w:rPr>
          <w:rFonts w:eastAsia="Times New Roman" w:ascii="Times New Roman" w:hAnsi="Times New Roman"/>
          <w:sz w:val="28"/>
          <w:szCs w:val="28"/>
          <w:vertAlign w:val="superscript"/>
        </w:rPr>
        <w:t>(код и наименование профессии (специальности))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u w:val="single"/>
        </w:rPr>
      </w:pPr>
      <w:r>
        <w:rPr>
          <w:rFonts w:eastAsia="Times New Roman" w:ascii="Times New Roman" w:hAnsi="Times New Roman"/>
          <w:sz w:val="28"/>
          <w:szCs w:val="28"/>
          <w:u w:val="single"/>
        </w:rPr>
        <w:t>Специалист банковского дела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vertAlign w:val="superscript"/>
        </w:rPr>
      </w:pPr>
      <w:r>
        <w:rPr>
          <w:rFonts w:eastAsia="Times New Roman"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eastAsia="Times New Roman" w:ascii="Times New Roman" w:hAnsi="Times New Roman"/>
          <w:sz w:val="28"/>
          <w:szCs w:val="28"/>
          <w:vertAlign w:val="superscript"/>
        </w:rPr>
        <w:t>(квалификация выпускника)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Вологда 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2024 г.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tbl>
      <w:tblPr>
        <w:tblW w:w="939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42"/>
        <w:gridCol w:w="4750"/>
      </w:tblGrid>
      <w:tr>
        <w:trPr/>
        <w:tc>
          <w:tcPr>
            <w:tcW w:w="46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Рассмотрено методической комиссией технических и экономических дисциплин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Протокол №1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0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 xml:space="preserve"> от 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06.06.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 xml:space="preserve"> 2024 г.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Председатель МК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_______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drawing>
                <wp:inline distT="0" distB="0" distL="0" distR="0">
                  <wp:extent cx="542290" cy="285750"/>
                  <wp:effectExtent l="0" t="0" r="0" b="0"/>
                  <wp:docPr id="1" name="_x005F_x0000_i10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_x005F_x0000_i10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0" t="14883" r="0" b="159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___О.Б. Литвинова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</w:r>
          </w:p>
        </w:tc>
        <w:tc>
          <w:tcPr>
            <w:tcW w:w="47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</w:rPr>
              <w:t>Одобрено и рекомендовано для внутреннего использования научно-методическим Советом колледжа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</w:rPr>
              <w:t xml:space="preserve">Протокол № 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от </w:t>
            </w:r>
            <w:r>
              <w:rPr>
                <w:rFonts w:ascii="Times New Roman" w:hAnsi="Times New Roman"/>
                <w:sz w:val="28"/>
              </w:rPr>
              <w:t>06</w:t>
            </w:r>
            <w:r>
              <w:rPr>
                <w:rFonts w:ascii="Times New Roman" w:hAnsi="Times New Roman"/>
                <w:sz w:val="28"/>
              </w:rPr>
              <w:t>.0</w:t>
            </w: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>.2024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bookmarkStart w:id="0" w:name="_GoBack"/>
            <w:bookmarkEnd w:id="0"/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 xml:space="preserve">Председатель   НМС 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drawing>
                <wp:inline distT="0" distB="0" distL="0" distR="0">
                  <wp:extent cx="1267460" cy="531495"/>
                  <wp:effectExtent l="0" t="0" r="0" b="0"/>
                  <wp:docPr id="2" name="Рисунок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rcRect l="-54" t="-116" r="-54" b="-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460" cy="53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 xml:space="preserve"> Е.В. Вихарева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>Разработчик – Кощеева Маргарита Алексеевна, преподаватель БПОУ ВО «Вологодский аграрно-экономический колледж».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>Методические указания предназначены для обучающихся специальности  38.02.07 Банковское дело и направлены на оказание практической помощи при выполнении внеаудиторной самостоятельной работы по профессиональному модулю.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  <w:t xml:space="preserve">Содержание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 xml:space="preserve">Введение                                                                                                                        4                                                                                                 </w:t>
      </w:r>
    </w:p>
    <w:p>
      <w:pPr>
        <w:pStyle w:val="Normal"/>
        <w:spacing w:lineRule="auto" w:line="360" w:before="0" w:after="0"/>
        <w:rPr>
          <w:rFonts w:ascii="Times New Roman" w:hAnsi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 xml:space="preserve">1.Методическое обеспечение  внеаудиторной (самостоятельной) работы            6       </w:t>
      </w:r>
      <w:r>
        <w:rPr>
          <w:rFonts w:eastAsia="Times New Roman" w:ascii="Times New Roman" w:hAnsi="Times New Roman"/>
          <w:bCs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Методические рекомендации по проведению сравнительного анализа             8           </w:t>
      </w:r>
    </w:p>
    <w:p>
      <w:pPr>
        <w:pStyle w:val="Normal"/>
        <w:spacing w:lineRule="auto" w:line="360" w:before="0"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bCs/>
          <w:sz w:val="28"/>
          <w:szCs w:val="28"/>
        </w:rPr>
        <w:t xml:space="preserve">Методические рекомендации по составлению схемы документооборота         9        </w:t>
      </w:r>
    </w:p>
    <w:p>
      <w:pPr>
        <w:pStyle w:val="Normal"/>
        <w:spacing w:lineRule="auto" w:line="360" w:before="0"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 Методические рекомендации по поиску информации о банках                         9</w:t>
      </w:r>
    </w:p>
    <w:p>
      <w:pPr>
        <w:pStyle w:val="Normal"/>
        <w:spacing w:lineRule="auto" w:line="360" w:before="0"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 Методические рекомендации по работе с нормативно-правовыми 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right" w:pos="10063" w:leader="none"/>
        </w:tabs>
        <w:spacing w:lineRule="auto" w:line="360" w:before="0"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документами</w:t>
        <w:tab/>
        <w:t xml:space="preserve">                                                                                                        10              </w:t>
      </w:r>
    </w:p>
    <w:p>
      <w:pPr>
        <w:pStyle w:val="Normal"/>
        <w:tabs>
          <w:tab w:val="clear" w:pos="708"/>
          <w:tab w:val="right" w:pos="10063" w:leader="none"/>
        </w:tabs>
        <w:spacing w:lineRule="auto" w:line="360" w:before="0"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6. Методические рекомендации по созданию компьютерной  презентации        11   </w:t>
      </w:r>
    </w:p>
    <w:p>
      <w:pPr>
        <w:pStyle w:val="Normal"/>
        <w:spacing w:lineRule="auto" w:line="36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br w:type="page"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Введение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Самостоятельная работа является одним из видов учебных занятий обучающихся.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Основные цели самостоятельной работы: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систематизация и закрепление знаний и умений обучающихся,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углубление и расширение теоретических знаний,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формирование умений использования специальной и учебной литературы,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развитие познавательных способностей и активности обучающихся, творческой инициативы.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Предложенные методические рекомендации являются дополнением к рабочей программе профессионального модуля ПМ 01. Ведение расчетных операций.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Максимальная учебная нагрузка по ПМ 01. Ведение расчетных операций составляет 496 часов, в том числе: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МДК 01.01 - 260 часов;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МДК 01.02 - 80 часов;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МДК 01.03 - 66 часов;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учебная практика - во 2 семестре - 18 часов;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производственная практика по профилю специальности - в 4 семестре - 72 часа.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50 часов отведено на внеаудиторную самостоятельную работу: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МДК 01.01 - 20 часов;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МДК 01.02 - 20 часов;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МДК 01.03 - 10 часов.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Выполнение предложенных заданий помогает закрепить полученные в ходе аудиторных занятий знания и умения, продолжает формировать общие и профессиональные компетенции: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ОК 1.</w:t>
        <w:tab/>
        <w:t>Выбирать способы решения задач профессиональной деятельности применительно к различным контекстам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ОК 2.</w:t>
        <w:tab/>
        <w:t>Осуществлять поиск, анализ и интерпретацию информации, необходимой для выполнения задач профессиональной деятельности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ОК 4.</w:t>
        <w:tab/>
        <w:t>Работать в коллективе и команде, эффективно взаимодействовать с коллегами, руководством, клиентами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ОК 5.</w:t>
        <w:tab/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ОК 9.</w:t>
        <w:tab/>
        <w:t>Использовать информационные технологии в профессиональной деятельности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ОК 10.Пользоваться профессиональной документацией на государственном и иностранном языках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ПК 1.1.Осуществлять расчетно-кассовое обслуживание клиентов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ПК 1.2.Осуществлять безналичные платежи с использованием различных форм расчетов в национальной и иностранных валютах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ПК 1.3.Осуществлять расчетное обслуживание счетов бюджетов различных уровней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ПК 1.4.Осуществлять межбанковские расчеты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ПК 1.5.Осуществлять международные расчеты по экспортно-импортным операциям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ПК 1.6.Обслуживать расчетные операции с использованием различных видов платежных карт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ЛР 13. </w:t>
        <w:tab/>
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ЛР 14</w:t>
        <w:tab/>
        <w:t>. Готовый соответствовать ожиданиям работодателей: проектно 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ЛР 15</w:t>
        <w:tab/>
        <w:t>. Открытый к текущим и перспективным изменениям в мире труда и профессий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выполнения всех заданий  по внеаудиторной (самостоятельной) работе даны методические рекомендации, указаны формы контроля и сроки сдачи работ, а также приведены критерии оценивания.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1.Методическое обеспечение внеаудиторной (самостоятельной) работы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tbl>
      <w:tblPr>
        <w:tblW w:w="1027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34"/>
        <w:gridCol w:w="6662"/>
        <w:gridCol w:w="1383"/>
      </w:tblGrid>
      <w:tr>
        <w:trPr/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ТЕМЫ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>
        <w:trPr>
          <w:trHeight w:val="578" w:hRule="atLeast"/>
        </w:trPr>
        <w:tc>
          <w:tcPr>
            <w:tcW w:w="10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МДК 01.01.Организация безналичных расчетов</w:t>
            </w:r>
          </w:p>
        </w:tc>
      </w:tr>
      <w:tr>
        <w:trPr/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расчетно-кассового обслуживания клиентов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 и подготовка информации о порядке и стоимости расчетно-кассового обслуживания в банках г. Вологды.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Источники: официальные сайты банков  г. Вологда, информационные стенды и брошюры банков.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1.2.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ведения расчетных операций по счетам клиентов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графика документооборота при открытии лицевого счета клиенту кредитной организации.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Источник: www.consultant.ru – Инструкция Банка России №204-И , Глава 1.</w:t>
              <w:tab/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22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 и подготовка информации о порядке открытия лицевых счетов клиентов в банках г. Вологды.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Источники: официальные сайты банков  г. Вологда, информационные стенды и брошюры банков.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1.3.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расчетных операций по счетам клиентов различными платежными документами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нормативно-правовыми документами. Поиск ответов на вопросы  о порядке исполнения и правилах оформления платежных документов при различных формах расчетов.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Источник: www.consultant.ru – Положение Банка России N 762-П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22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сравнительной таблицы по формам расчетов по следующим критериям: инициатор платежа, акцептный и безакцептный порядок расчета, плюсы и минусы расчетов.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Источник: www.consultant.ru – Положение Банка России N 762-П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22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графика документооборота при расчетах платежными поручениями.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Источники: www.consultant.ru – Положение Банка России N 762-П, Ведение расчетных операций. Практикум; под ред. О. М. Марковой.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1.7.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Межбанковские расчеты: понятие, виды, системы межбанковских расчетов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схемы – варианты организации межбанковских расчетов: схемы расчетов при прямых корреспондентских отношениях и схемы расчетов при проведении безналичных расчетов через РКЦ.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Источники: Костюкова, Е.И. Организация бухгалтерского учета в банках, Ведение расчетных операций. Практикум; под ред. О. М. Марковой.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1.10.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ведения расчетов платежными картами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сравнительной таблицы по видам платежных карт по следующим критериям: особенности внешнего вида, возможности расчетов, наличие привилегий.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Источники:</w:t>
            </w:r>
            <w:r>
              <w:rPr/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Ведение расчетных операций. Практикум; под ред. О. М. Марковой, Мартыненко Н.Н. Банковское дело.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22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схемы – возможности расчетов при использовании различных видов платежных карт.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Источники: Костюкова, Е.И. Организация бухгалтерского учета в банках, Ведение расчетных операций. Практикум; под ред. О. М. Марковой.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22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 и подготовка информации о платежных картах, выпускаемых банками г. Вологды. Направления поиска информации: виды банковских карт, предлагаемых банком, правила пользования банковской картой, тарифы по открытию и ведению счетов держателей банковских карт, документы, оформляемые в процессе получения и пользования банковскими картами.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Источники: официальные сайты банков  г. Вологда, информационные стенды и брошюры банков.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rHeight w:val="444" w:hRule="atLeast"/>
        </w:trPr>
        <w:tc>
          <w:tcPr>
            <w:tcW w:w="10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МДК 01.02. Кассовые операции  банков</w:t>
            </w:r>
          </w:p>
        </w:tc>
      </w:tr>
      <w:tr>
        <w:trPr/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кассовой работы в кредитных организациях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нормативно-правовыми документами. Поиск ответов на вопросы о порядке ведения кассовых операций в коммерческих банках.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Источник: www.consultant.ru – Положение N 630-П «О порядке ведения кассовых операций и правилах хранения, перевозки и инкассации банкнот и монеты Банка России в кредитных организациях на территории Российской Федерации»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22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схемы: помещения коммерческого банка, используемые при проведении кассовых операций и их назначение.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Источники: Костюкова, Е.И. Организация бухгалтерского учета в банках, Ведение расчетных операций. Практикум; под ред. О. М. Марковой.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22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схемы: начало и завершение рабочего дня кассового работника банка.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Источники: Костюкова, Е.И. Организация бухгалтерского учета в банках.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1.2.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Кассовое обслуживание юридических лиц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нормативно-правовыми документами. Поиск ответов на вопросы о порядке кассового обслуживания юридических лиц в кредитных организациях.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Источник: www.consultant.ru – Указание N 3210-У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1.4.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Кассовое обслуживание физических лиц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 и подготовка информации об услугах, предлагаемых банками г. Вологды, относящихся к кассовым операциям.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Источники: официальные сайты банков  г. Вологда, информационные стенды и брошюры банков.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22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схемы: оформление получения и выдачи наличных денежных средств клиентам – юридическим лицам и физическим лицам.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Источник:</w:t>
            </w:r>
            <w:r>
              <w:rPr/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Ведение расчетных операций. Практикум; под ред. О. М. Марковой.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1.6.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работы   с денежными средствами и ценностями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компьютерной презентации по темам: Классификация средств защиты банкнот Банка России. Определение подлинности банкнот.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1.7.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работы с наличной иностранной валютой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информации о тенденциях изменения курсов валют за последний год.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Источник: сайт ЦБ РФ - cbr.ru.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22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сайтами банков.  Подготовка сообщений на тему: Какую информацию о курсах валют, проводимых конверсионных операциях можно узнать на сайтах банков?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Источник: официальные сайты банков.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bCs/>
          <w:color w:val="000000"/>
          <w:sz w:val="28"/>
          <w:szCs w:val="28"/>
          <w:lang w:eastAsia="ru-RU"/>
        </w:rPr>
        <w:t>2.</w:t>
      </w:r>
      <w:r>
        <w:rPr>
          <w:rFonts w:ascii="Times New Roman" w:hAnsi="Times New Roman"/>
          <w:b/>
          <w:sz w:val="28"/>
          <w:szCs w:val="28"/>
        </w:rPr>
        <w:t xml:space="preserve"> Методические рекомендации по проведению сравнительного анализа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проведения сравнительного анализа требуется ориентироваться на критерии. Прежде чем приступать к сравнению, необходимо изучить информацию по объектам сравнения в целом. После чего выделить самые важные моменты, исходя из критериев для сравнения. Проанализировать полученную информацию. Сформулировать выводы, оформить полученные результаты.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56" w:hanging="56"/>
        <w:jc w:val="both"/>
        <w:rPr>
          <w:rFonts w:ascii="Times New Roman" w:hAnsi="Times New Roman" w:eastAsia="Times New Roman"/>
          <w:sz w:val="28"/>
          <w:szCs w:val="28"/>
          <w:u w:val="single"/>
          <w:lang w:eastAsia="ru-RU"/>
        </w:rPr>
      </w:pPr>
      <w:r>
        <w:rPr>
          <w:rFonts w:eastAsia="Times New Roman" w:ascii="Times New Roman" w:hAnsi="Times New Roman"/>
          <w:sz w:val="28"/>
          <w:szCs w:val="28"/>
          <w:u w:val="single"/>
          <w:lang w:eastAsia="ru-RU"/>
        </w:rPr>
        <w:t xml:space="preserve">Форма контроля и сроки сдачи работы.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для выполнения данной работы выдается в ходе лекции. Задание выполняется к ближайшему занятию по данной теме. Задание должно быть выполнено  всеми студентами.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u w:val="single"/>
          <w:lang w:eastAsia="ru-RU"/>
        </w:rPr>
      </w:pPr>
      <w:r>
        <w:rPr>
          <w:rFonts w:eastAsia="Times New Roman" w:ascii="Times New Roman" w:hAnsi="Times New Roman"/>
          <w:sz w:val="28"/>
          <w:szCs w:val="28"/>
          <w:u w:val="single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Критерии оценки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«Отлично» ставится, если было найдено большое количество элементов для сравнения (сравнение проведено по всем указанным критериям), и сделаны выводы.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«Хорошо» ставится, если элементов для сравнения было найдено достаточно много (сравнение проведено не по всем указанным критериям), но выводы отсутствуют.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«Удовлетворительно» ставится, если работа носит поверхностный характер, материал недостаточно хорошо проработан, выводы отсутствуют.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«Неудовлетворительно» ставится, если сравнительного анализа сделано не было, а выполненная работа представляет из себя краткое изложение лекционного материала.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Методические рекомендации по составлению схемы документооборота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выполнения задания необходимо проанализировать материал, полученный  в ходе лекции, изучить материал рекомендованных учебников. На основе анализа информации, требуется схематично изобразить основные моменты (этапы). Схема должна отражать логику рассматриваемого процесса, быть не слишком перегруженной текстовой информацией.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8"/>
          <w:szCs w:val="28"/>
          <w:u w:val="single"/>
          <w:lang w:eastAsia="ru-RU"/>
        </w:rPr>
      </w:pPr>
      <w:r>
        <w:rPr/>
        <w:t xml:space="preserve"> </w:t>
      </w:r>
      <w:r>
        <w:rPr>
          <w:rFonts w:eastAsia="Times New Roman" w:ascii="Times New Roman" w:hAnsi="Times New Roman"/>
          <w:color w:val="000000"/>
          <w:sz w:val="28"/>
          <w:szCs w:val="28"/>
          <w:u w:val="single"/>
          <w:lang w:eastAsia="ru-RU"/>
        </w:rPr>
        <w:t>Форма контроля и сроки сдачи работы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Данная работа должна быть сдана по окончании изучения лекционного материала по теме.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Критерии оценки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«Отлично» ставится, если  схематичное изображение верно отражает логику процесса.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«Хорошо» ставится, если схема содержит незначительные ошибки, не всегда верно обозначены этапы или участники.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«Удовлетворительно» ставится, если составленные схемы поверхностны, безсодержательны.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«Неудовлетворительно» ставится, если работы не выполнена.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eastAsia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4.Методические рекомендации по поиску информации по банкам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  лучшего усвоения изучаемого материала, а также для определения возможности  его практического применения в современных условиях, обучающимся предлагается найти информацию по изучаемой теме применительно к конкретным банкам.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выполнения задания студенты могут использовать интернет-ресурсы (официальные сайты банков), информацию, размещаемую непосредственно на стендах в учреждениях банков, а также брошюры и листовки, раздаваемые промоутерами.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Всю найденную информацию необходимо проанализировать, выбрать в ней самое основное и предоставить в распечатанном виде,  оформив ее следующим образом: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текст напечатан на одной стороне листа белой бумаги формата А-4, возможно представление информации в виде таблиц,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размер шрифта-14 (возможно 12), Times New Roman, цвет – черный,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междустрочный интервал и поля – по усмотрению,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отформатировано по ширине листа,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титульном листе название темы с указанием названия выбранного банка.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8"/>
          <w:szCs w:val="28"/>
          <w:u w:val="single"/>
          <w:lang w:eastAsia="ru-RU"/>
        </w:rPr>
      </w:pPr>
      <w:r>
        <w:rPr>
          <w:rFonts w:eastAsia="Times New Roman" w:ascii="Times New Roman" w:hAnsi="Times New Roman"/>
          <w:color w:val="000000"/>
          <w:sz w:val="28"/>
          <w:szCs w:val="28"/>
          <w:u w:val="single"/>
          <w:lang w:eastAsia="ru-RU"/>
        </w:rPr>
        <w:t>Форма контроля и сроки сдачи работы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eastAsia="Times New Roman" w:ascii="Times New Roman" w:hAnsi="Times New Roman"/>
          <w:color w:val="000000"/>
          <w:sz w:val="28"/>
          <w:szCs w:val="28"/>
          <w:lang w:eastAsia="ru-RU"/>
        </w:rPr>
        <w:t xml:space="preserve">Работа должна быть выполнена и сдана до окончания изучения лекционного материала соответствующего раздела программы.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Критерии оценки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«Отлично» ставится, если найдена требуемая информация, и оформлена она должным образом.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«Хорошо» ставится, если информация была подобрано верно, но не оформлена должным образом.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«Удовлетворительно» ставится, если найденная информация не в полной мере соответствует указанной теме.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«Неудовлетворительно» ставится, если найденная информация не соответствует указанной теме.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5.Методические рекомендации по работе с нормативно-правовыми документами</w:t>
        <w:tab/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Любая профессиональная деятельность опирается на нормативно-правовую базу. Специалист любой сферы должен знать основополагающие законы, постановления и инструкции. Кроме этого необходимо уметь ориентироваться в нормативно-правовых актах, чтобы при возникновении спорных сложных вопросов, найти ответ.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Данный вид внеаудиторной (самостоятельной) работы позволяет обогатить словарный запас, так как текст, изложенный в нормативных документах, написан исключительно научным языком.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выполнения задания необходимо: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1.найти необходимый документ,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2.ознакомиться с содержанием документа, чтобы определиться, в каком разделе (главе) следует искать ответы на поставленные вопросы,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3.найти статьи, в которых содержится интересующая информация,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4.дать ответ на поставленный вопрос. Ответ не всегда должен быть простым переписыванием информации из статьи документа. Необходимо понять основную мысль, «отбросить» лишние слова и фразы.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Форма контроля выполнения задания и сроки сдачи работы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выдается после ознакомления с нормативно-правовым документом, основной информацией, содержащейся в нем. Оно должно быть сдано до начала следующей темы. Выполняется задание всеми студентами. Проверяется выполнение задания в ходе совместного обсуждения полученных результатов.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Критерии оценки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«Отлично» ставится, если верно найдены ответы на все вопросы.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«Хорошо» ставится, если на часть вопросов ответы не даны, но обучающийся принимает активное участие в обсуждении выполнения задания.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«Удовлетворительно» ставится, если не на все вопросы найдены ответы и при этом обучающийся не принимает участия в обсуждении.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«Неудовлетворительно» ставится, если задание не выполнено.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6.Методические рекомендации по созданию компьютерной  презентации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Компьютерная презентация - это особый документ с мультимедийным содержимым, демонстрация которого управляется пользователем. Компьютерную презентацию требуется подготовить в программе MS PowerPoint.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презентации работу следует разделить на 2 основных этапа: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1.подбор материала,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2.оформление слайдов презентации.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подборе материала необходимо проанализировать информацию из различных источников и определить то, что будет размещено на слайдах.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слайдов должно быть адекватно содержанию и продолжительности будущего выступления.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Презентация создается индивидуально каждым обучающимся. Работа должна  быть представлена в электронном варианте.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слайд презентации должен содержать название работы и информацию об ее авторе.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Последний слайд должен выражать благодарность за внимание. Остальные слайды – посвящены выбранной теме.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всех слайдов презентации, по возможности, необходимо использовать один и тот же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шаблон оформления, который, в первую очередь, не должен отвлекать от содержания представленной информации. Не стоит использовать слишком яркие и контрастные цвета,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смешивать разные типы шрифтов.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создания презентации необходимо подготовиться к выступлению. Требуется обратить внимание на наличие связи между материалом, представляемым докладчиком в ходе выступления с информацией, отражаемой на открытом слайде.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Форма контроля и сроки сдачи работы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работы проверяется у всех обучающихся в ходе занятий. Все работы должны быть сданы до окончания изучения соответствующей темы.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Критерии оценки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«Отлично» ставится, если в презентации полностью раскрыта выбранная тема, соблюдены требования к ее оформлению, а докладчик показал хороший уровень теоретической подготовки и владение материалом.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«Хорошо» ставится, если в презентации не полностью раскрыта выбранная тема либо не соблюдены требования к оформлению, а в ходе доклада не продемонстрировано владение материалом.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«Удовлетворительно» ставится, если в презентации не полностью раскрыта выбранная тема, соблюдены не все требования к оформлению презентации, а докладчик плохо ориентируется в материале и структуре презентации.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«Неудовлетворительно» ставится, если работа не выполнена или содержит материал, не имеющий отношения к выбранной теме.</w:t>
      </w:r>
    </w:p>
    <w:p>
      <w:pPr>
        <w:pStyle w:val="Normal"/>
        <w:spacing w:before="0" w:after="200"/>
        <w:rPr/>
      </w:pPr>
      <w:r>
        <w:rPr/>
      </w:r>
    </w:p>
    <w:sectPr>
      <w:footerReference w:type="default" r:id="rId4"/>
      <w:type w:val="nextPage"/>
      <w:pgSz w:w="11906" w:h="16838"/>
      <w:pgMar w:left="993" w:right="850" w:header="0" w:top="709" w:footer="708" w:bottom="765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11</w:t>
    </w:r>
    <w:r>
      <w:rPr/>
      <w:fldChar w:fldCharType="end"/>
    </w:r>
  </w:p>
  <w:p>
    <w:pPr>
      <w:pStyle w:val="Style21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link w:val="642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4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link w:val="16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link w:val="18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link w:val="20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link w:val="22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link w:val="24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link w:val="26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link w:val="28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link w:val="30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link w:val="13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link w:val="15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link w:val="17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link w:val="19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link w:val="21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link w:val="23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link w:val="25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link w:val="27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link w:val="29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link w:val="34"/>
    <w:uiPriority w:val="10"/>
    <w:qFormat/>
    <w:rPr>
      <w:sz w:val="48"/>
      <w:szCs w:val="48"/>
    </w:rPr>
  </w:style>
  <w:style w:type="character" w:styleId="SubtitleChar">
    <w:name w:val="Subtitle Char"/>
    <w:link w:val="36"/>
    <w:uiPriority w:val="11"/>
    <w:qFormat/>
    <w:rPr>
      <w:sz w:val="24"/>
      <w:szCs w:val="24"/>
    </w:rPr>
  </w:style>
  <w:style w:type="character" w:styleId="QuoteChar">
    <w:name w:val="Quote Char"/>
    <w:link w:val="38"/>
    <w:uiPriority w:val="29"/>
    <w:qFormat/>
    <w:rPr>
      <w:i/>
    </w:rPr>
  </w:style>
  <w:style w:type="character" w:styleId="IntenseQuoteChar">
    <w:name w:val="Intense Quote Char"/>
    <w:link w:val="40"/>
    <w:uiPriority w:val="30"/>
    <w:qFormat/>
    <w:rPr>
      <w:i/>
    </w:rPr>
  </w:style>
  <w:style w:type="character" w:styleId="HeaderChar">
    <w:name w:val="Header Char"/>
    <w:link w:val="42"/>
    <w:uiPriority w:val="99"/>
    <w:qFormat/>
    <w:rPr/>
  </w:style>
  <w:style w:type="character" w:styleId="FooterChar">
    <w:name w:val="Footer Char"/>
    <w:link w:val="44"/>
    <w:uiPriority w:val="99"/>
    <w:qFormat/>
    <w:rPr/>
  </w:style>
  <w:style w:type="character" w:styleId="CaptionChar">
    <w:name w:val="Caption Char"/>
    <w:link w:val="44"/>
    <w:uiPriority w:val="99"/>
    <w:qFormat/>
    <w:rPr/>
  </w:style>
  <w:style w:type="character" w:styleId="Style5">
    <w:name w:val="Интернет-ссылка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link w:val="175"/>
    <w:uiPriority w:val="99"/>
    <w:qFormat/>
    <w:rPr>
      <w:sz w:val="18"/>
    </w:rPr>
  </w:style>
  <w:style w:type="character" w:styleId="Style6">
    <w:name w:val="Привязка сноски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EndnoteTextChar">
    <w:name w:val="Endnote Text Char"/>
    <w:link w:val="178"/>
    <w:uiPriority w:val="99"/>
    <w:qFormat/>
    <w:rPr>
      <w:sz w:val="20"/>
    </w:rPr>
  </w:style>
  <w:style w:type="character" w:styleId="Style7">
    <w:name w:val="Привязка концевой сноски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Style8">
    <w:name w:val="Основной шрифт абзаца"/>
    <w:link w:val="642"/>
    <w:uiPriority w:val="1"/>
    <w:unhideWhenUsed/>
    <w:qFormat/>
    <w:rPr/>
  </w:style>
  <w:style w:type="character" w:styleId="Style9">
    <w:name w:val="Верхний колонтитул Знак"/>
    <w:link w:val="648"/>
    <w:uiPriority w:val="99"/>
    <w:qFormat/>
    <w:rPr>
      <w:rFonts w:ascii="Calibri" w:hAnsi="Calibri" w:eastAsia="Calibri" w:cs="Times New Roman"/>
    </w:rPr>
  </w:style>
  <w:style w:type="character" w:styleId="Style10">
    <w:name w:val="Нижний колонтитул Знак"/>
    <w:link w:val="650"/>
    <w:uiPriority w:val="99"/>
    <w:qFormat/>
    <w:rPr>
      <w:rFonts w:ascii="Calibri" w:hAnsi="Calibri" w:eastAsia="Calibri" w:cs="Times New Roman"/>
    </w:rPr>
  </w:style>
  <w:style w:type="character" w:styleId="Style11">
    <w:name w:val="Гиперссылка"/>
    <w:link w:val="642"/>
    <w:uiPriority w:val="99"/>
    <w:unhideWhenUsed/>
    <w:qFormat/>
    <w:rPr>
      <w:color w:val="0000FF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0"/>
      <w:lang w:val="ru-RU" w:eastAsia="zh-CN" w:bidi="ar-SA"/>
    </w:rPr>
  </w:style>
  <w:style w:type="paragraph" w:styleId="Style17">
    <w:name w:val="Title"/>
    <w:basedOn w:val="Normal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8">
    <w:name w:val="Subtitle"/>
    <w:basedOn w:val="Normal"/>
    <w:link w:val="37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link w:val="39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link w:val="41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Header"/>
    <w:basedOn w:val="Normal"/>
    <w:link w:val="649"/>
    <w:uiPriority w:val="99"/>
    <w:unhideWhenUsed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sz w:val="20"/>
      <w:szCs w:val="20"/>
      <w:lang w:val="en-US" w:eastAsia="en-US"/>
    </w:rPr>
  </w:style>
  <w:style w:type="paragraph" w:styleId="Style21">
    <w:name w:val="Footer"/>
    <w:basedOn w:val="Normal"/>
    <w:link w:val="651"/>
    <w:uiPriority w:val="99"/>
    <w:unhideWhenUsed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sz w:val="20"/>
      <w:szCs w:val="20"/>
      <w:lang w:val="en-US" w:eastAsia="en-US"/>
    </w:rPr>
  </w:style>
  <w:style w:type="paragraph" w:styleId="Style22">
    <w:name w:val="Footnote Text"/>
    <w:basedOn w:val="Normal"/>
    <w:link w:val="176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3">
    <w:name w:val="Endnote Text"/>
    <w:basedOn w:val="Normal"/>
    <w:link w:val="179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1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bidi w:val="0"/>
      <w:jc w:val="left"/>
    </w:pPr>
    <w:rPr>
      <w:rFonts w:ascii="Calibri" w:hAnsi="Calibri" w:eastAsia="Calibri" w:cs="Times New Roman"/>
      <w:color w:val="auto"/>
      <w:kern w:val="0"/>
      <w:sz w:val="22"/>
      <w:szCs w:val="20"/>
      <w:lang w:val="ru-RU" w:eastAsia="zh-CN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Style24">
    <w:name w:val="Абзац списка"/>
    <w:basedOn w:val="Normal"/>
    <w:link w:val="642"/>
    <w:uiPriority w:val="34"/>
    <w:qFormat/>
    <w:pPr>
      <w:spacing w:before="0" w:after="200"/>
      <w:ind w:left="720" w:hanging="0"/>
      <w:contextualSpacing/>
    </w:pPr>
    <w:rPr/>
  </w:style>
  <w:style w:type="numbering" w:styleId="Style25">
    <w:name w:val="Нет списка"/>
    <w:link w:val="642"/>
    <w:uiPriority w:val="99"/>
    <w:semiHidden/>
    <w:unhideWhenUsed/>
    <w:qFormat/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LibreOffice/6.3.2.2$Windows_x86 LibreOffice_project/98b30e735bda24bc04ab42594c85f7fd8be07b9c</Application>
  <Pages>11</Pages>
  <Words>2120</Words>
  <Characters>15351</Characters>
  <CharactersWithSpaces>17743</CharactersWithSpaces>
  <Paragraphs>217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2021-11-04T12:47:00Z</dcterms:created>
  <dc:creator>Привет</dc:creator>
  <dc:description/>
  <dc:language>ru-RU</dc:language>
  <cp:lastModifiedBy/>
  <dcterms:modified xsi:type="dcterms:W3CDTF">2025-03-04T10:54:49Z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SPecialiST RePack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  <property fmtid="{D5CDD505-2E9C-101B-9397-08002B2CF9AE}" pid="7" name="version">
    <vt:lpwstr>917504</vt:lpwstr>
  </property>
</Properties>
</file>