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Министерство образования Вологодской области</w:t>
      </w:r>
    </w:p>
    <w:p>
      <w:pPr>
        <w:pStyle w:val="Normal"/>
        <w:jc w:val="center"/>
        <w:rPr/>
      </w:pPr>
      <w:r>
        <w:rPr>
          <w:sz w:val="28"/>
          <w:szCs w:val="28"/>
        </w:rPr>
        <w:t>БПОУ  ВО «Вологодский аграрно-экономический колледж»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</w:r>
    </w:p>
    <w:p>
      <w:pPr>
        <w:pStyle w:val="Normal"/>
        <w:jc w:val="center"/>
        <w:rPr>
          <w:b/>
          <w:b/>
          <w:bCs/>
          <w:sz w:val="36"/>
          <w:szCs w:val="36"/>
          <w:lang w:eastAsia="ru-RU"/>
        </w:rPr>
      </w:pPr>
      <w:r>
        <w:rPr>
          <w:b/>
          <w:bCs/>
          <w:sz w:val="36"/>
          <w:szCs w:val="36"/>
          <w:lang w:eastAsia="ru-RU"/>
        </w:rPr>
      </w:r>
    </w:p>
    <w:p>
      <w:pPr>
        <w:pStyle w:val="Normal"/>
        <w:jc w:val="center"/>
        <w:rPr>
          <w:b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Методические указания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 выполнению  внеаудиторной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самостоятельной   работы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  <w:lang w:eastAsia="ru-RU"/>
        </w:rPr>
        <w:t>ПРОФЕССИОНАЛЬНОГО МОДУЛЯ</w:t>
      </w:r>
    </w:p>
    <w:p>
      <w:pPr>
        <w:pStyle w:val="Normal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  <w:lang w:eastAsia="ru-RU"/>
        </w:rPr>
        <w:t>ПМ 04 БАНКОВСКИЙ КОНСАЛТИНГ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/>
      </w:pPr>
      <w:r>
        <w:rPr>
          <w:bCs/>
          <w:sz w:val="28"/>
          <w:szCs w:val="28"/>
          <w:lang w:eastAsia="ru-RU"/>
        </w:rPr>
        <w:t>по специальности 38.02.07 Банковское дело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 2024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4749"/>
      </w:tblGrid>
      <w:tr>
        <w:trPr/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7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Разработчик – Кощеева Маргарита Алексеевна, преподаватель БПОУ  ВО «Вологодский аграрно-экономический колледж».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Методические указания предназначены для обучающихся специальности 38.02.07 Банковское дело и направлены на оказание практической помощи при выполнении внеаудиторной  самостоятельной работы по профессиональному модулю.</w:t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17"/>
        <w:spacing w:lineRule="auto" w:line="360"/>
        <w:ind w:left="0" w:right="0" w:hanging="0"/>
        <w:jc w:val="center"/>
        <w:rPr/>
      </w:pPr>
      <w:r>
        <w:rPr/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3"/>
            <w:tabs>
              <w:tab w:val="clear" w:pos="708"/>
              <w:tab w:val="right" w:pos="9638" w:leader="dot"/>
            </w:tabs>
            <w:rPr/>
          </w:pPr>
          <w:r>
            <w:fldChar w:fldCharType="begin"/>
          </w:r>
          <w:r>
            <w:rPr>
              <w:rStyle w:val="Style12"/>
              <w:sz w:val="28"/>
              <w:szCs w:val="28"/>
            </w:rPr>
            <w:instrText> TOC \o "1-3" \h</w:instrText>
          </w:r>
          <w:r>
            <w:rPr>
              <w:rStyle w:val="Style12"/>
              <w:sz w:val="28"/>
              <w:szCs w:val="28"/>
            </w:rPr>
            <w:fldChar w:fldCharType="separate"/>
          </w:r>
          <w:hyperlink w:anchor="__RefHeading___Toc56010711">
            <w:r>
              <w:rPr>
                <w:rStyle w:val="Style12"/>
                <w:sz w:val="28"/>
                <w:szCs w:val="28"/>
              </w:rPr>
              <w:t>Введение</w:t>
              <w:tab/>
              <w:t>4</w:t>
            </w:r>
          </w:hyperlink>
        </w:p>
        <w:p>
          <w:pPr>
            <w:pStyle w:val="13"/>
            <w:tabs>
              <w:tab w:val="clear" w:pos="708"/>
              <w:tab w:val="right" w:pos="9638" w:leader="dot"/>
            </w:tabs>
            <w:rPr/>
          </w:pPr>
          <w:hyperlink w:anchor="__RefHeading___Toc56010712">
            <w:r>
              <w:rPr>
                <w:rStyle w:val="Style12"/>
                <w:sz w:val="28"/>
                <w:szCs w:val="28"/>
              </w:rPr>
              <w:t>Цели, основные виды самостоятельной работы обучающихся</w:t>
              <w:tab/>
              <w:t>5</w:t>
            </w:r>
          </w:hyperlink>
        </w:p>
        <w:p>
          <w:pPr>
            <w:pStyle w:val="13"/>
            <w:tabs>
              <w:tab w:val="clear" w:pos="708"/>
              <w:tab w:val="right" w:pos="9638" w:leader="dot"/>
            </w:tabs>
            <w:rPr/>
          </w:pPr>
          <w:hyperlink w:anchor="__RefHeading___Toc56010713">
            <w:r>
              <w:rPr>
                <w:rStyle w:val="Style12"/>
                <w:sz w:val="28"/>
                <w:szCs w:val="28"/>
              </w:rPr>
              <w:t>Критерии оценки результатов самостоятельной работы</w:t>
              <w:tab/>
              <w:t>6</w:t>
            </w:r>
          </w:hyperlink>
        </w:p>
        <w:p>
          <w:pPr>
            <w:pStyle w:val="Normal"/>
            <w:spacing w:lineRule="auto" w:line="360"/>
            <w:rPr>
              <w:sz w:val="28"/>
              <w:szCs w:val="28"/>
              <w:lang w:val="en-US" w:eastAsia="en-US"/>
            </w:rPr>
          </w:pPr>
          <w:r>
            <w:rPr>
              <w:sz w:val="28"/>
              <w:szCs w:val="28"/>
              <w:lang w:val="en-US" w:eastAsia="en-US"/>
            </w:rPr>
          </w:r>
          <w:r>
            <w:rPr>
              <w:sz w:val="28"/>
              <w:szCs w:val="28"/>
            </w:rPr>
            <w:fldChar w:fldCharType="end"/>
          </w:r>
        </w:p>
      </w:sdtContent>
    </w:sdt>
    <w:p>
      <w:pPr>
        <w:pStyle w:val="1"/>
        <w:numPr>
          <w:ilvl w:val="0"/>
          <w:numId w:val="1"/>
        </w:numPr>
        <w:spacing w:before="0" w:after="0"/>
        <w:jc w:val="center"/>
        <w:rPr/>
      </w:pPr>
      <w:bookmarkStart w:id="1" w:name="__RefHeading___Toc56010711"/>
      <w:bookmarkEnd w:id="1"/>
      <w:r>
        <w:rPr>
          <w:rFonts w:ascii="Times New Roman" w:hAnsi="Times New Roman"/>
          <w:color w:val="000000"/>
        </w:rPr>
        <w:t>Введение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187" w:firstLine="709"/>
        <w:jc w:val="both"/>
        <w:rPr/>
      </w:pPr>
      <w:r>
        <w:rPr>
          <w:sz w:val="28"/>
          <w:szCs w:val="28"/>
          <w:lang w:eastAsia="ru-RU"/>
        </w:rPr>
        <w:t xml:space="preserve">ПМ 04 Банковский консалтинг закладывает фундамент для формирования управленческого мышления, понимания сущности маркетинговой деятельности на рынке банковских продуктов (услуг), а также развития практических навыков маркетинговой работы в банковских учреждениях.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соответствии с рабочей программой рассчитаны на 10 часов.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В результате выполнения самостоятельной работы обучающийся должен </w:t>
      </w: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- организовывать сбор маркетинговой информации;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- проводить квалифицированный анализ маркетинговой информации;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- оценивать эффективность организации продаж банковских продуктов.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  <w:lang w:eastAsia="ru-RU"/>
        </w:rPr>
        <w:t>знать: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современные тенденции развития рынка и технологии продаж банковских продуктов и услуг в России и за рубежом;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этапы и методы проведения комплексного маркетингового исследования в банке;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 xml:space="preserve">- методы и способы продаж банковских продуктов.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 xml:space="preserve">В результате выполнения самостоятельной работы студент </w:t>
      </w:r>
      <w:r>
        <w:rPr>
          <w:b/>
          <w:sz w:val="28"/>
          <w:szCs w:val="28"/>
        </w:rPr>
        <w:t>должен знать: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приемами и технологией обобщения маркетинговой информации на основе использования современных технических средств и информационных технологий;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навыками принятия решений на основе информации, собранной в ходе маркетинговых исследований;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владеть приемами и технологией продаж банковских продуктов;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навыками финансового консультирования клиентов в рамках взаимодействия банка с существующими и потенциальными клиентами.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добывании знаний.</w:t>
      </w:r>
    </w:p>
    <w:p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jc w:val="center"/>
        <w:rPr/>
      </w:pPr>
      <w:bookmarkStart w:id="2" w:name="__RefHeading___Toc56010712"/>
      <w:bookmarkEnd w:id="2"/>
      <w:r>
        <w:rPr>
          <w:rFonts w:ascii="Times New Roman" w:hAnsi="Times New Roman"/>
          <w:color w:val="000000"/>
        </w:rPr>
        <w:t>Цели, основные виды самостоятельной работы  обучающихся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i/>
          <w:sz w:val="28"/>
          <w:szCs w:val="28"/>
        </w:rPr>
        <w:t>Цели самостоятельной внеаудиторной работы  обучающихся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формирование профессиональных явлений;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формирование умений и навыков самостоятельного умственного труда;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мотивирование регулярной целенаправленной работы по освоению специальности;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развитие самостоятельного мышления;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формирование убежденности, волевых черт характера, способности к самоорганизации.</w:t>
      </w:r>
    </w:p>
    <w:tbl>
      <w:tblPr>
        <w:tblW w:w="9954" w:type="dxa"/>
        <w:jc w:val="left"/>
        <w:tblInd w:w="-33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9"/>
        <w:gridCol w:w="3453"/>
        <w:gridCol w:w="1274"/>
        <w:gridCol w:w="2857"/>
      </w:tblGrid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Тема 2.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Стратегии продаж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банковских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>продуктов и услуг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Провести  SWOT-анализ  коммерческого банка. Проанализировать виды банковских продуктов для юридических и физических лиц конкретного коммерческого банка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Сайты коммерческих банков</w:t>
            </w:r>
          </w:p>
        </w:tc>
      </w:tr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  <w:lang w:eastAsia="ru-RU"/>
              </w:rPr>
              <w:t>Тема 3.</w:t>
            </w:r>
          </w:p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  <w:lang w:eastAsia="ru-RU"/>
              </w:rPr>
              <w:t xml:space="preserve">Методы продаж </w:t>
            </w:r>
          </w:p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  <w:lang w:eastAsia="ru-RU"/>
              </w:rPr>
              <w:t xml:space="preserve">банковских 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sz w:val="24"/>
                <w:szCs w:val="24"/>
                <w:lang w:eastAsia="ru-RU"/>
              </w:rPr>
              <w:t>продуктов и услуг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Подготовка презентаций на темы: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Перекрестные продажи cross-sales.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Финансовый супермаркет-  розничные продажи типовых услуг.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Финансовый бутик  Private banking.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Стратегия пакетирования банковских продуктов.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Элементы стратегии продаж внутри банка.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Фронт-офис продаж банка.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Персональные продажи.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Имиджевая реклама.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Прямая (ATL) и косвенная (BTL) реклама.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Реклама в прессе.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- Радио и телереклама.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Спонсоринг.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Продакт-плейсмент.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 xml:space="preserve">- Паблик рилейшнз (PR).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Медиа – рилайшенз.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Government Relations.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Основные особенности маркетинга взаимоотношений.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Преимущества лояльного клиента.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CRM – система.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Процесс формирования лояльности клиентов.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Кобрендинговые программы лояльности клиентов.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tabs>
                <w:tab w:val="clear" w:pos="708"/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sz w:val="24"/>
                <w:szCs w:val="24"/>
                <w:lang w:eastAsia="ru-RU"/>
              </w:rPr>
              <w:t xml:space="preserve">Банковское дело. В 2 ч. Часть 2. Технологии обслуживания клиентов : учебник для СПО / А. М. Тавасиев. — 2-е изд., перераб. и доп. — М. : Издательство Юрайт, 2022. —301 с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Тема 6.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Качество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>обслуживания в банке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Самостоятельное изучение вопросов «Обеспечение защиты прав и интересов клиентов», «Банковская тайна», «Ответственность банка в случае причинения ущерба интересам клиентов».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tabs>
                <w:tab w:val="clear" w:pos="708"/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sz w:val="24"/>
                <w:szCs w:val="24"/>
                <w:lang w:eastAsia="ru-RU"/>
              </w:rPr>
              <w:t xml:space="preserve">Банковское дело. В 2 ч. Часть 2. Технологии обслуживания клиентов : учебник для СПО / А. М. Тавасиев. — 2-е изд., перераб. и доп. — М. : Издательство Юрайт, 2022. —301 с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firstLine="709"/>
        <w:jc w:val="both"/>
        <w:rPr/>
      </w:pPr>
      <w:r>
        <w:rPr>
          <w:sz w:val="28"/>
          <w:szCs w:val="28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качестве форм и методов контроля внеаудиторной самостоятельной работы  используется защита проекта.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1"/>
        <w:numPr>
          <w:ilvl w:val="0"/>
          <w:numId w:val="1"/>
        </w:numPr>
        <w:spacing w:before="0" w:after="0"/>
        <w:jc w:val="center"/>
        <w:rPr/>
      </w:pPr>
      <w:r>
        <w:rPr>
          <w:rFonts w:ascii="Times New Roman" w:hAnsi="Times New Roman"/>
          <w:color w:val="000000"/>
        </w:rPr>
        <w:t>Критерии оценки результатов самостоятельной работы</w:t>
      </w:r>
    </w:p>
    <w:p>
      <w:pPr>
        <w:pStyle w:val="Normal"/>
        <w:jc w:val="center"/>
        <w:rPr>
          <w:b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освоения учебного материала;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использовать теоретические знания при выполнении практических задач;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сформированности общеучебных умений;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-обоснованность и четкость изложения материала;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-оформление материала в соответствии с требованиями стандарта;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ориентироваться в потоке информации, выделять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главное;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сформулировать собственную позицию, оценку и аргументировать ее.</w:t>
      </w:r>
    </w:p>
    <w:p>
      <w:pPr>
        <w:pStyle w:val="Normal"/>
        <w:ind w:left="720" w:hanging="0"/>
        <w:jc w:val="center"/>
        <w:rPr/>
      </w:pPr>
      <w:r>
        <w:rPr/>
      </w:r>
    </w:p>
    <w:sectPr>
      <w:footerReference w:type="default" r:id="rId4"/>
      <w:type w:val="nextPage"/>
      <w:pgSz w:w="11906" w:h="16838"/>
      <w:pgMar w:left="1701" w:right="567" w:header="0" w:top="1134" w:footer="70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46"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link w:val="646"/>
    <w:qFormat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Normal"/>
    <w:link w:val="646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46"/>
    <w:uiPriority w:val="1"/>
    <w:semiHidden/>
    <w:unhideWhenUsed/>
    <w:qFormat/>
    <w:rPr/>
  </w:style>
  <w:style w:type="character" w:styleId="WW8Num1z0">
    <w:name w:val="WW8Num1z0"/>
    <w:link w:val="646"/>
    <w:qFormat/>
    <w:rPr/>
  </w:style>
  <w:style w:type="character" w:styleId="WW8Num1z1">
    <w:name w:val="WW8Num1z1"/>
    <w:link w:val="646"/>
    <w:qFormat/>
    <w:rPr/>
  </w:style>
  <w:style w:type="character" w:styleId="WW8Num1z2">
    <w:name w:val="WW8Num1z2"/>
    <w:link w:val="646"/>
    <w:qFormat/>
    <w:rPr/>
  </w:style>
  <w:style w:type="character" w:styleId="WW8Num1z3">
    <w:name w:val="WW8Num1z3"/>
    <w:link w:val="646"/>
    <w:qFormat/>
    <w:rPr/>
  </w:style>
  <w:style w:type="character" w:styleId="WW8Num1z4">
    <w:name w:val="WW8Num1z4"/>
    <w:link w:val="646"/>
    <w:qFormat/>
    <w:rPr/>
  </w:style>
  <w:style w:type="character" w:styleId="WW8Num1z5">
    <w:name w:val="WW8Num1z5"/>
    <w:link w:val="646"/>
    <w:qFormat/>
    <w:rPr/>
  </w:style>
  <w:style w:type="character" w:styleId="WW8Num1z6">
    <w:name w:val="WW8Num1z6"/>
    <w:link w:val="646"/>
    <w:qFormat/>
    <w:rPr/>
  </w:style>
  <w:style w:type="character" w:styleId="WW8Num1z7">
    <w:name w:val="WW8Num1z7"/>
    <w:link w:val="646"/>
    <w:qFormat/>
    <w:rPr/>
  </w:style>
  <w:style w:type="character" w:styleId="WW8Num1z8">
    <w:name w:val="WW8Num1z8"/>
    <w:link w:val="646"/>
    <w:qFormat/>
    <w:rPr/>
  </w:style>
  <w:style w:type="character" w:styleId="31">
    <w:name w:val="Основной шрифт абзаца3"/>
    <w:link w:val="646"/>
    <w:qFormat/>
    <w:rPr/>
  </w:style>
  <w:style w:type="character" w:styleId="WW8Num2z0">
    <w:name w:val="WW8Num2z0"/>
    <w:link w:val="646"/>
    <w:qFormat/>
    <w:rPr>
      <w:rFonts w:ascii="Times New Roman" w:hAnsi="Times New Roman" w:cs="Times New Roman"/>
      <w:b w:val="false"/>
      <w:sz w:val="24"/>
      <w:szCs w:val="24"/>
      <w:lang w:val="en-US"/>
    </w:rPr>
  </w:style>
  <w:style w:type="character" w:styleId="21">
    <w:name w:val="Основной шрифт абзаца2"/>
    <w:link w:val="646"/>
    <w:qFormat/>
    <w:rPr/>
  </w:style>
  <w:style w:type="character" w:styleId="WW8Num3z0">
    <w:name w:val="WW8Num3z0"/>
    <w:link w:val="646"/>
    <w:qFormat/>
    <w:rPr>
      <w:rFonts w:ascii="Symbol" w:hAnsi="Symbol" w:cs="Symbol"/>
    </w:rPr>
  </w:style>
  <w:style w:type="character" w:styleId="WW8Num4z0">
    <w:name w:val="WW8Num4z0"/>
    <w:link w:val="646"/>
    <w:qFormat/>
    <w:rPr>
      <w:rFonts w:ascii="Symbol" w:hAnsi="Symbol" w:eastAsia="Calibri" w:cs="Symbol"/>
      <w:sz w:val="28"/>
      <w:szCs w:val="28"/>
      <w:lang w:val="en-US"/>
    </w:rPr>
  </w:style>
  <w:style w:type="character" w:styleId="WW8Num5z0">
    <w:name w:val="WW8Num5z0"/>
    <w:link w:val="646"/>
    <w:qFormat/>
    <w:rPr>
      <w:rFonts w:ascii="Symbol" w:hAnsi="Symbol" w:cs="Symbol"/>
      <w:sz w:val="28"/>
      <w:szCs w:val="28"/>
    </w:rPr>
  </w:style>
  <w:style w:type="character" w:styleId="WW8Num6z0">
    <w:name w:val="WW8Num6z0"/>
    <w:link w:val="646"/>
    <w:qFormat/>
    <w:rPr/>
  </w:style>
  <w:style w:type="character" w:styleId="WW8Num7z0">
    <w:name w:val="WW8Num7z0"/>
    <w:link w:val="646"/>
    <w:qFormat/>
    <w:rPr/>
  </w:style>
  <w:style w:type="character" w:styleId="WW8Num7z1">
    <w:name w:val="WW8Num7z1"/>
    <w:link w:val="646"/>
    <w:qFormat/>
    <w:rPr>
      <w:rFonts w:ascii="Symbol" w:hAnsi="Symbol" w:cs="Symbol"/>
      <w:sz w:val="28"/>
      <w:szCs w:val="28"/>
    </w:rPr>
  </w:style>
  <w:style w:type="character" w:styleId="WW8Num7z2">
    <w:name w:val="WW8Num7z2"/>
    <w:link w:val="646"/>
    <w:qFormat/>
    <w:rPr/>
  </w:style>
  <w:style w:type="character" w:styleId="WW8Num7z3">
    <w:name w:val="WW8Num7z3"/>
    <w:link w:val="646"/>
    <w:qFormat/>
    <w:rPr/>
  </w:style>
  <w:style w:type="character" w:styleId="WW8Num7z4">
    <w:name w:val="WW8Num7z4"/>
    <w:link w:val="646"/>
    <w:qFormat/>
    <w:rPr/>
  </w:style>
  <w:style w:type="character" w:styleId="WW8Num7z5">
    <w:name w:val="WW8Num7z5"/>
    <w:link w:val="646"/>
    <w:qFormat/>
    <w:rPr/>
  </w:style>
  <w:style w:type="character" w:styleId="WW8Num7z6">
    <w:name w:val="WW8Num7z6"/>
    <w:link w:val="646"/>
    <w:qFormat/>
    <w:rPr/>
  </w:style>
  <w:style w:type="character" w:styleId="WW8Num7z7">
    <w:name w:val="WW8Num7z7"/>
    <w:link w:val="646"/>
    <w:qFormat/>
    <w:rPr/>
  </w:style>
  <w:style w:type="character" w:styleId="WW8Num7z8">
    <w:name w:val="WW8Num7z8"/>
    <w:link w:val="646"/>
    <w:qFormat/>
    <w:rPr/>
  </w:style>
  <w:style w:type="character" w:styleId="WW8Num8z0">
    <w:name w:val="WW8Num8z0"/>
    <w:link w:val="646"/>
    <w:qFormat/>
    <w:rPr>
      <w:rFonts w:ascii="Symbol" w:hAnsi="Symbol" w:cs="Symbol"/>
      <w:sz w:val="28"/>
      <w:szCs w:val="28"/>
    </w:rPr>
  </w:style>
  <w:style w:type="character" w:styleId="WW8Num9z0">
    <w:name w:val="WW8Num9z0"/>
    <w:link w:val="646"/>
    <w:qFormat/>
    <w:rPr>
      <w:rFonts w:ascii="Symbol" w:hAnsi="Symbol" w:cs="Symbol"/>
    </w:rPr>
  </w:style>
  <w:style w:type="character" w:styleId="WW8Num10z0">
    <w:name w:val="WW8Num10z0"/>
    <w:link w:val="646"/>
    <w:qFormat/>
    <w:rPr>
      <w:rFonts w:ascii="Symbol" w:hAnsi="Symbol" w:cs="Symbol"/>
    </w:rPr>
  </w:style>
  <w:style w:type="character" w:styleId="WW8Num2z1">
    <w:name w:val="WW8Num2z1"/>
    <w:link w:val="646"/>
    <w:qFormat/>
    <w:rPr>
      <w:rFonts w:ascii="Courier New" w:hAnsi="Courier New" w:cs="Courier New"/>
    </w:rPr>
  </w:style>
  <w:style w:type="character" w:styleId="WW8Num2z2">
    <w:name w:val="WW8Num2z2"/>
    <w:link w:val="646"/>
    <w:qFormat/>
    <w:rPr>
      <w:rFonts w:ascii="Wingdings" w:hAnsi="Wingdings" w:cs="Wingdings"/>
    </w:rPr>
  </w:style>
  <w:style w:type="character" w:styleId="WW8Num3z1">
    <w:name w:val="WW8Num3z1"/>
    <w:link w:val="646"/>
    <w:qFormat/>
    <w:rPr>
      <w:rFonts w:ascii="Courier New" w:hAnsi="Courier New" w:cs="Courier New"/>
    </w:rPr>
  </w:style>
  <w:style w:type="character" w:styleId="WW8Num3z2">
    <w:name w:val="WW8Num3z2"/>
    <w:link w:val="646"/>
    <w:qFormat/>
    <w:rPr>
      <w:rFonts w:ascii="Wingdings" w:hAnsi="Wingdings" w:cs="Wingdings"/>
    </w:rPr>
  </w:style>
  <w:style w:type="character" w:styleId="WW8Num4z1">
    <w:name w:val="WW8Num4z1"/>
    <w:link w:val="646"/>
    <w:qFormat/>
    <w:rPr>
      <w:rFonts w:ascii="Courier New" w:hAnsi="Courier New" w:cs="Courier New"/>
    </w:rPr>
  </w:style>
  <w:style w:type="character" w:styleId="WW8Num4z2">
    <w:name w:val="WW8Num4z2"/>
    <w:link w:val="646"/>
    <w:qFormat/>
    <w:rPr>
      <w:rFonts w:ascii="Wingdings" w:hAnsi="Wingdings" w:cs="Wingdings"/>
    </w:rPr>
  </w:style>
  <w:style w:type="character" w:styleId="WW8Num5z1">
    <w:name w:val="WW8Num5z1"/>
    <w:link w:val="646"/>
    <w:qFormat/>
    <w:rPr/>
  </w:style>
  <w:style w:type="character" w:styleId="WW8Num5z2">
    <w:name w:val="WW8Num5z2"/>
    <w:link w:val="646"/>
    <w:qFormat/>
    <w:rPr/>
  </w:style>
  <w:style w:type="character" w:styleId="WW8Num5z3">
    <w:name w:val="WW8Num5z3"/>
    <w:link w:val="646"/>
    <w:qFormat/>
    <w:rPr/>
  </w:style>
  <w:style w:type="character" w:styleId="WW8Num5z4">
    <w:name w:val="WW8Num5z4"/>
    <w:link w:val="646"/>
    <w:qFormat/>
    <w:rPr/>
  </w:style>
  <w:style w:type="character" w:styleId="WW8Num5z5">
    <w:name w:val="WW8Num5z5"/>
    <w:link w:val="646"/>
    <w:qFormat/>
    <w:rPr/>
  </w:style>
  <w:style w:type="character" w:styleId="WW8Num5z6">
    <w:name w:val="WW8Num5z6"/>
    <w:link w:val="646"/>
    <w:qFormat/>
    <w:rPr/>
  </w:style>
  <w:style w:type="character" w:styleId="WW8Num5z7">
    <w:name w:val="WW8Num5z7"/>
    <w:link w:val="646"/>
    <w:qFormat/>
    <w:rPr/>
  </w:style>
  <w:style w:type="character" w:styleId="WW8Num5z8">
    <w:name w:val="WW8Num5z8"/>
    <w:link w:val="646"/>
    <w:qFormat/>
    <w:rPr/>
  </w:style>
  <w:style w:type="character" w:styleId="WW8Num6z1">
    <w:name w:val="WW8Num6z1"/>
    <w:link w:val="646"/>
    <w:qFormat/>
    <w:rPr/>
  </w:style>
  <w:style w:type="character" w:styleId="WW8Num6z2">
    <w:name w:val="WW8Num6z2"/>
    <w:link w:val="646"/>
    <w:qFormat/>
    <w:rPr/>
  </w:style>
  <w:style w:type="character" w:styleId="WW8Num6z3">
    <w:name w:val="WW8Num6z3"/>
    <w:link w:val="646"/>
    <w:qFormat/>
    <w:rPr/>
  </w:style>
  <w:style w:type="character" w:styleId="WW8Num6z4">
    <w:name w:val="WW8Num6z4"/>
    <w:link w:val="646"/>
    <w:qFormat/>
    <w:rPr/>
  </w:style>
  <w:style w:type="character" w:styleId="WW8Num6z5">
    <w:name w:val="WW8Num6z5"/>
    <w:link w:val="646"/>
    <w:qFormat/>
    <w:rPr/>
  </w:style>
  <w:style w:type="character" w:styleId="WW8Num6z6">
    <w:name w:val="WW8Num6z6"/>
    <w:link w:val="646"/>
    <w:qFormat/>
    <w:rPr/>
  </w:style>
  <w:style w:type="character" w:styleId="WW8Num6z7">
    <w:name w:val="WW8Num6z7"/>
    <w:link w:val="646"/>
    <w:qFormat/>
    <w:rPr/>
  </w:style>
  <w:style w:type="character" w:styleId="WW8Num6z8">
    <w:name w:val="WW8Num6z8"/>
    <w:link w:val="646"/>
    <w:qFormat/>
    <w:rPr/>
  </w:style>
  <w:style w:type="character" w:styleId="WW8Num8z1">
    <w:name w:val="WW8Num8z1"/>
    <w:link w:val="646"/>
    <w:qFormat/>
    <w:rPr>
      <w:rFonts w:ascii="Courier New" w:hAnsi="Courier New" w:cs="Courier New"/>
    </w:rPr>
  </w:style>
  <w:style w:type="character" w:styleId="WW8Num8z2">
    <w:name w:val="WW8Num8z2"/>
    <w:link w:val="646"/>
    <w:qFormat/>
    <w:rPr>
      <w:rFonts w:ascii="Wingdings" w:hAnsi="Wingdings" w:cs="Wingdings"/>
    </w:rPr>
  </w:style>
  <w:style w:type="character" w:styleId="WW8Num9z1">
    <w:name w:val="WW8Num9z1"/>
    <w:link w:val="646"/>
    <w:qFormat/>
    <w:rPr>
      <w:rFonts w:ascii="Courier New" w:hAnsi="Courier New" w:cs="Courier New"/>
    </w:rPr>
  </w:style>
  <w:style w:type="character" w:styleId="WW8Num9z2">
    <w:name w:val="WW8Num9z2"/>
    <w:link w:val="646"/>
    <w:qFormat/>
    <w:rPr>
      <w:rFonts w:ascii="Wingdings" w:hAnsi="Wingdings" w:cs="Wingdings"/>
    </w:rPr>
  </w:style>
  <w:style w:type="character" w:styleId="WW8Num10z1">
    <w:name w:val="WW8Num10z1"/>
    <w:link w:val="646"/>
    <w:qFormat/>
    <w:rPr>
      <w:rFonts w:ascii="Courier New" w:hAnsi="Courier New" w:cs="Courier New"/>
    </w:rPr>
  </w:style>
  <w:style w:type="character" w:styleId="WW8Num10z2">
    <w:name w:val="WW8Num10z2"/>
    <w:link w:val="646"/>
    <w:qFormat/>
    <w:rPr>
      <w:rFonts w:ascii="Wingdings" w:hAnsi="Wingdings" w:cs="Wingdings"/>
    </w:rPr>
  </w:style>
  <w:style w:type="character" w:styleId="11">
    <w:name w:val="Основной шрифт абзаца1"/>
    <w:link w:val="646"/>
    <w:qFormat/>
    <w:rPr/>
  </w:style>
  <w:style w:type="character" w:styleId="12">
    <w:name w:val="Заголовок 1 Знак"/>
    <w:link w:val="646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Style9">
    <w:name w:val="Верхний колонтитул Знак"/>
    <w:link w:val="646"/>
    <w:qFormat/>
    <w:rPr>
      <w:rFonts w:ascii="Times New Roman" w:hAnsi="Times New Roman" w:eastAsia="Times New Roman" w:cs="Times New Roman"/>
    </w:rPr>
  </w:style>
  <w:style w:type="character" w:styleId="Style10">
    <w:name w:val="Нижний колонтитул Знак"/>
    <w:link w:val="646"/>
    <w:qFormat/>
    <w:rPr>
      <w:rFonts w:ascii="Times New Roman" w:hAnsi="Times New Roman" w:eastAsia="Times New Roman" w:cs="Times New Roman"/>
    </w:rPr>
  </w:style>
  <w:style w:type="character" w:styleId="Style11">
    <w:name w:val="Гиперссылка"/>
    <w:link w:val="646"/>
    <w:qFormat/>
    <w:rPr>
      <w:color w:val="0000FF"/>
      <w:u w:val="single"/>
    </w:rPr>
  </w:style>
  <w:style w:type="character" w:styleId="22">
    <w:name w:val="Заголовок 2 Знак"/>
    <w:link w:val="646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23">
    <w:name w:val="Основной текст 2 Знак"/>
    <w:link w:val="646"/>
    <w:qFormat/>
    <w:rPr>
      <w:lang w:eastAsia="zh-CN"/>
    </w:rPr>
  </w:style>
  <w:style w:type="character" w:styleId="Style12">
    <w:name w:val="Ссылка указателя"/>
    <w:link w:val="646"/>
    <w:qFormat/>
    <w:rPr/>
  </w:style>
  <w:style w:type="character" w:styleId="Style13">
    <w:name w:val="Маркеры списка"/>
    <w:link w:val="646"/>
    <w:qFormat/>
    <w:rPr>
      <w:rFonts w:ascii="OpenSymbol" w:hAnsi="OpenSymbol" w:eastAsia="OpenSymbol" w:cs="OpenSymbo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link w:val="646"/>
    <w:pPr>
      <w:spacing w:lineRule="auto" w:line="276" w:before="0" w:after="140"/>
    </w:pPr>
    <w:rPr/>
  </w:style>
  <w:style w:type="paragraph" w:styleId="Style16">
    <w:name w:val="List"/>
    <w:basedOn w:val="Style15"/>
    <w:link w:val="646"/>
    <w:pPr/>
    <w:rPr>
      <w:rFonts w:cs="Mangal"/>
    </w:rPr>
  </w:style>
  <w:style w:type="paragraph" w:styleId="Style17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8">
    <w:name w:val="Указатель"/>
    <w:basedOn w:val="14"/>
    <w:link w:val="646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Style19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0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1">
    <w:name w:val="Верхний и нижний колонтитулы"/>
    <w:basedOn w:val="Normal"/>
    <w:link w:val="646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link w:val="64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64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3">
    <w:name w:val="TOC 1"/>
    <w:basedOn w:val="Normal"/>
    <w:link w:val="646"/>
    <w:pPr/>
    <w:rPr/>
  </w:style>
  <w:style w:type="paragraph" w:styleId="24">
    <w:name w:val="TOC 2"/>
    <w:basedOn w:val="Normal"/>
    <w:link w:val="646"/>
    <w:pPr>
      <w:ind w:left="200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4">
    <w:name w:val="Заголовок1"/>
    <w:basedOn w:val="Normal"/>
    <w:link w:val="64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6">
    <w:name w:val="Название объекта"/>
    <w:basedOn w:val="Normal"/>
    <w:link w:val="646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3">
    <w:name w:val="Указатель3"/>
    <w:basedOn w:val="Normal"/>
    <w:link w:val="646"/>
    <w:qFormat/>
    <w:pPr>
      <w:suppressLineNumbers/>
    </w:pPr>
    <w:rPr>
      <w:rFonts w:cs="Lucida Sans"/>
    </w:rPr>
  </w:style>
  <w:style w:type="paragraph" w:styleId="25">
    <w:name w:val="Название объекта2"/>
    <w:basedOn w:val="Normal"/>
    <w:link w:val="646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26">
    <w:name w:val="Указатель2"/>
    <w:basedOn w:val="Normal"/>
    <w:link w:val="646"/>
    <w:qFormat/>
    <w:pPr>
      <w:suppressLineNumbers/>
    </w:pPr>
    <w:rPr>
      <w:rFonts w:cs="Lucida Sans"/>
    </w:rPr>
  </w:style>
  <w:style w:type="paragraph" w:styleId="15">
    <w:name w:val="Название объекта1"/>
    <w:basedOn w:val="Normal"/>
    <w:link w:val="646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6">
    <w:name w:val="Указатель1"/>
    <w:basedOn w:val="Normal"/>
    <w:link w:val="646"/>
    <w:qFormat/>
    <w:pPr>
      <w:suppressLineNumbers/>
    </w:pPr>
    <w:rPr>
      <w:rFonts w:cs="Mangal"/>
    </w:rPr>
  </w:style>
  <w:style w:type="paragraph" w:styleId="Style27">
    <w:name w:val="Абзац списка"/>
    <w:basedOn w:val="Normal"/>
    <w:link w:val="646"/>
    <w:qFormat/>
    <w:pPr>
      <w:spacing w:before="0" w:after="0"/>
      <w:ind w:left="720" w:right="0" w:hanging="0"/>
      <w:contextualSpacing/>
    </w:pPr>
    <w:rPr/>
  </w:style>
  <w:style w:type="paragraph" w:styleId="17">
    <w:name w:val="Заголовок таблицы ссылок1"/>
    <w:basedOn w:val="1"/>
    <w:link w:val="646"/>
    <w:qFormat/>
    <w:pPr>
      <w:spacing w:lineRule="auto" w:line="276"/>
      <w:ind w:left="0" w:right="0" w:hanging="0"/>
    </w:pPr>
    <w:rPr>
      <w:rFonts w:ascii="Cambria" w:hAnsi="Cambria" w:eastAsia="Times New Roman" w:cs="Times New Roman"/>
      <w:color w:val="365F91"/>
    </w:rPr>
  </w:style>
  <w:style w:type="paragraph" w:styleId="Style28">
    <w:name w:val="Обычный (веб)"/>
    <w:basedOn w:val="Normal"/>
    <w:link w:val="646"/>
    <w:qFormat/>
    <w:pPr>
      <w:spacing w:before="280" w:after="280"/>
    </w:pPr>
    <w:rPr>
      <w:sz w:val="24"/>
      <w:szCs w:val="24"/>
    </w:rPr>
  </w:style>
  <w:style w:type="paragraph" w:styleId="Style29">
    <w:name w:val="Содержимое таблицы"/>
    <w:basedOn w:val="Normal"/>
    <w:link w:val="646"/>
    <w:qFormat/>
    <w:pPr>
      <w:suppressLineNumbers/>
    </w:pPr>
    <w:rPr/>
  </w:style>
  <w:style w:type="paragraph" w:styleId="Style30">
    <w:name w:val="Заголовок таблицы"/>
    <w:basedOn w:val="Style29"/>
    <w:link w:val="646"/>
    <w:qFormat/>
    <w:pPr>
      <w:suppressLineNumbers/>
      <w:jc w:val="center"/>
    </w:pPr>
    <w:rPr>
      <w:b/>
      <w:bCs/>
    </w:rPr>
  </w:style>
  <w:style w:type="paragraph" w:styleId="Style31">
    <w:name w:val="Стиль"/>
    <w:link w:val="646"/>
    <w:qFormat/>
    <w:pPr>
      <w:widowControl w:val="false"/>
      <w:bidi w:val="0"/>
      <w:jc w:val="left"/>
    </w:pPr>
    <w:rPr>
      <w:rFonts w:ascii="Calibri" w:hAnsi="Calibri" w:eastAsia="NSimSun" w:cs="Mangal"/>
      <w:color w:val="auto"/>
      <w:kern w:val="0"/>
      <w:sz w:val="24"/>
      <w:szCs w:val="24"/>
      <w:lang w:val="ru-RU" w:eastAsia="zh-CN" w:bidi="ar-SA"/>
    </w:rPr>
  </w:style>
  <w:style w:type="paragraph" w:styleId="211">
    <w:name w:val="Основной текст 21"/>
    <w:basedOn w:val="Normal"/>
    <w:link w:val="646"/>
    <w:qFormat/>
    <w:pPr>
      <w:spacing w:lineRule="auto" w:line="480" w:before="0" w:after="120"/>
    </w:pPr>
    <w:rPr/>
  </w:style>
  <w:style w:type="numbering" w:styleId="Style32">
    <w:name w:val="Нет списка"/>
    <w:link w:val="646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7</Pages>
  <Words>758</Words>
  <Characters>5692</Characters>
  <CharactersWithSpaces>6376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1995-11-21T14:41:00Z</dcterms:created>
  <dc:creator>Пользователь Windows</dc:creator>
  <dc:description/>
  <dc:language>ru-RU</dc:language>
  <cp:lastModifiedBy/>
  <dcterms:modified xsi:type="dcterms:W3CDTF">2025-03-04T10:54:30Z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version">
    <vt:lpwstr>786432</vt:lpwstr>
  </property>
</Properties>
</file>