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Вологодской области</w:t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БПОУ ВО «Вологодский аграрно-экономический колледж»</w:t>
      </w:r>
      <w:r>
        <w:rPr>
          <w:sz w:val="28"/>
          <w:szCs w:val="28"/>
        </w:rPr>
      </w:r>
    </w:p>
    <w:p>
      <w:pPr>
        <w:pStyle w:val="621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62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15100" w:type="dxa"/>
        <w:tblInd w:w="-108" w:type="dxa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12"/>
        <w:gridCol w:w="14675"/>
        <w:gridCol w:w="213"/>
      </w:tblGrid>
      <w:tr>
        <w:tblPrEx/>
        <w:trPr/>
        <w:tc>
          <w:tcPr>
            <w:shd w:val="clear" w:color="auto" w:fill="auto"/>
            <w:tcW w:w="212" w:type="dxa"/>
            <w:textDirection w:val="lrTb"/>
            <w:noWrap w:val="false"/>
          </w:tcPr>
          <w:p>
            <w:pPr>
              <w:pStyle w:val="622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shd w:val="clear" w:color="auto" w:fill="auto"/>
            <w:tcW w:w="14675" w:type="dxa"/>
            <w:textDirection w:val="lrTb"/>
            <w:noWrap w:val="false"/>
          </w:tcPr>
          <w:p>
            <w:pPr>
              <w:pStyle w:val="62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tbl>
            <w:tblPr>
              <w:tblW w:w="15100" w:type="dxa"/>
              <w:tblInd w:w="0" w:type="dxa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0A0" w:firstRow="1" w:lastRow="0" w:firstColumn="1" w:lastColumn="0" w:noHBand="0" w:noVBand="0"/>
            </w:tblPr>
            <w:tblGrid>
              <w:gridCol w:w="5206"/>
              <w:gridCol w:w="4678"/>
              <w:gridCol w:w="5216"/>
            </w:tblGrid>
            <w:tr>
              <w:tblPrEx/>
              <w:trPr/>
              <w:tc>
                <w:tcPr>
                  <w:shd w:val="clear" w:color="auto" w:fill="auto"/>
                  <w:tcW w:w="5206" w:type="dxa"/>
                  <w:textDirection w:val="lrTb"/>
                  <w:noWrap w:val="false"/>
                </w:tcPr>
                <w:p>
                  <w:pPr>
                    <w:pStyle w:val="621"/>
                    <w:jc w:val="both"/>
                    <w:keepNext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</w:r>
                  <w:r>
                    <w:rPr>
                      <w:rFonts w:eastAsia="Calibri"/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shd w:val="clear" w:color="auto" w:fill="auto"/>
                  <w:tcW w:w="4678" w:type="dxa"/>
                  <w:textDirection w:val="lrTb"/>
                  <w:noWrap w:val="false"/>
                </w:tcPr>
                <w:p>
                  <w:pPr>
                    <w:pStyle w:val="621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</w:r>
                  <w:r>
                    <w:rPr>
                      <w:rFonts w:eastAsia="Calibri"/>
                      <w:sz w:val="24"/>
                      <w:szCs w:val="24"/>
                    </w:rPr>
                  </w:r>
                </w:p>
              </w:tc>
              <w:tc>
                <w:tcPr>
                  <w:shd w:val="clear" w:color="auto" w:fill="auto"/>
                  <w:tcW w:w="5216" w:type="dxa"/>
                  <w:textDirection w:val="lrTb"/>
                  <w:noWrap w:val="false"/>
                </w:tcPr>
                <w:p>
                  <w:pPr>
                    <w:pStyle w:val="621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</w:r>
                  <w:r>
                    <w:rPr>
                      <w:rFonts w:eastAsia="Calibri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62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213" w:type="dxa"/>
            <w:textDirection w:val="lrTb"/>
            <w:noWrap w:val="false"/>
          </w:tcPr>
          <w:p>
            <w:pPr>
              <w:pStyle w:val="62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</w:tbl>
    <w:p>
      <w:pPr>
        <w:pStyle w:val="622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pPr>
        <w:pStyle w:val="621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1"/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1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1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1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ФОНД</w:t>
      </w:r>
      <w:r>
        <w:rPr>
          <w:b/>
          <w:sz w:val="24"/>
          <w:szCs w:val="24"/>
        </w:rPr>
      </w:r>
    </w:p>
    <w:p>
      <w:pPr>
        <w:pStyle w:val="6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ОЦЕНОЧНЫХ СРЕДСТВ</w:t>
      </w:r>
      <w:r>
        <w:rPr>
          <w:b/>
          <w:sz w:val="24"/>
          <w:szCs w:val="24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2"/>
        <w:jc w:val="center"/>
        <w:spacing w:before="120" w:after="0"/>
        <w:rPr>
          <w:szCs w:val="24"/>
        </w:rPr>
      </w:pPr>
      <w:r>
        <w:rPr>
          <w:szCs w:val="24"/>
        </w:rPr>
        <w:t xml:space="preserve">ПО УЧЕБНОЙ ДИСЦИПЛИНЕ</w:t>
      </w:r>
      <w:r>
        <w:rPr>
          <w:szCs w:val="24"/>
        </w:rPr>
      </w:r>
    </w:p>
    <w:p>
      <w:pPr>
        <w:pStyle w:val="621"/>
      </w:pPr>
      <w:r/>
      <w:r/>
    </w:p>
    <w:p>
      <w:pPr>
        <w:pStyle w:val="622"/>
        <w:jc w:val="center"/>
        <w:spacing w:before="120" w:after="0"/>
        <w:rPr>
          <w:b w:val="0"/>
          <w:sz w:val="28"/>
        </w:rPr>
      </w:pPr>
      <w:r>
        <w:rPr>
          <w:b w:val="0"/>
          <w:bCs w:val="0"/>
          <w:sz w:val="28"/>
        </w:rPr>
        <w:t xml:space="preserve">ОП.0</w:t>
      </w:r>
      <w:r>
        <w:rPr>
          <w:b w:val="0"/>
          <w:bCs w:val="0"/>
          <w:sz w:val="28"/>
        </w:rPr>
        <w:t xml:space="preserve">9</w:t>
      </w:r>
      <w:r>
        <w:rPr>
          <w:b w:val="0"/>
          <w:sz w:val="28"/>
        </w:rPr>
        <w:t xml:space="preserve"> «Основы предпринимательской деятельности»</w:t>
      </w:r>
      <w:r>
        <w:rPr>
          <w:b w:val="0"/>
          <w:sz w:val="28"/>
        </w:rPr>
      </w:r>
    </w:p>
    <w:p>
      <w:pPr>
        <w:pStyle w:val="621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</w:r>
      <w:r>
        <w:rPr>
          <w:sz w:val="28"/>
          <w:szCs w:val="28"/>
          <w:vertAlign w:val="superscript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38.02.07 «Банковское дело» </w:t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Квалификация «Специалист банковского дела»</w:t>
      </w:r>
      <w:r>
        <w:rPr>
          <w:sz w:val="28"/>
          <w:szCs w:val="28"/>
        </w:rPr>
      </w:r>
    </w:p>
    <w:p>
      <w:pPr>
        <w:pStyle w:val="621"/>
        <w:jc w:val="center"/>
      </w:pPr>
      <w:r/>
      <w:r/>
    </w:p>
    <w:p>
      <w:pPr>
        <w:pStyle w:val="62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</w:pPr>
      <w:r>
        <w:rPr>
          <w:sz w:val="28"/>
          <w:szCs w:val="28"/>
        </w:rPr>
        <w:t xml:space="preserve">Вологда 202</w:t>
      </w:r>
      <w:r>
        <w:rPr>
          <w:sz w:val="28"/>
          <w:szCs w:val="28"/>
        </w:rPr>
        <w:t xml:space="preserve">4</w:t>
      </w:r>
      <w:r/>
    </w:p>
    <w:tbl>
      <w:tblPr>
        <w:tblW w:w="9570" w:type="dxa"/>
        <w:tblInd w:w="-108" w:type="dxa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5728"/>
        <w:gridCol w:w="3841"/>
      </w:tblGrid>
      <w:tr>
        <w:tblPrEx/>
        <w:trPr/>
        <w:tc>
          <w:tcPr>
            <w:shd w:val="clear" w:color="auto" w:fill="auto"/>
            <w:tcW w:w="5728" w:type="dxa"/>
            <w:textDirection w:val="lrTb"/>
            <w:noWrap w:val="false"/>
          </w:tcPr>
          <w:p>
            <w:pPr>
              <w:pStyle w:val="621"/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  <w:t xml:space="preserve">Разработчики:</w:t>
            </w:r>
            <w:r>
              <w:rPr>
                <w:caps/>
                <w:sz w:val="28"/>
                <w:szCs w:val="28"/>
                <w:lang w:eastAsia="ru-RU"/>
              </w:rPr>
            </w:r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БПОУ ВО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«Вологодский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аграрно-экономический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колледж»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Н.Б. Варзина преподаватель</w:t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pStyle w:val="621"/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</w:r>
            <w:r>
              <w:rPr>
                <w:caps/>
                <w:sz w:val="28"/>
                <w:szCs w:val="28"/>
                <w:lang w:eastAsia="ru-RU"/>
              </w:rPr>
            </w:r>
          </w:p>
          <w:p>
            <w:pPr>
              <w:pStyle w:val="621"/>
              <w:ind w:hanging="18"/>
              <w:rPr>
                <w:caps/>
                <w:sz w:val="28"/>
                <w:szCs w:val="28"/>
                <w:lang w:eastAsia="ru-RU"/>
              </w:rPr>
            </w:pPr>
            <w:r>
              <w:rPr>
                <w:caps/>
                <w:sz w:val="28"/>
                <w:szCs w:val="28"/>
                <w:lang w:eastAsia="ru-RU"/>
              </w:rPr>
            </w:r>
            <w:r>
              <w:rPr>
                <w:caps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841" w:type="dxa"/>
            <w:textDirection w:val="lrTb"/>
            <w:noWrap w:val="false"/>
          </w:tcPr>
          <w:tbl>
            <w:tblPr>
              <w:tblW w:w="3625" w:type="dxa"/>
              <w:tblInd w:w="0" w:type="dxa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000" w:firstRow="0" w:lastRow="0" w:firstColumn="0" w:lastColumn="0" w:noHBand="0" w:noVBand="0"/>
            </w:tblPr>
            <w:tblGrid>
              <w:gridCol w:w="3625"/>
            </w:tblGrid>
            <w:tr>
              <w:tblPrEx/>
              <w:trPr/>
              <w:tc>
                <w:tcPr>
                  <w:shd w:val="clear" w:color="auto" w:fill="auto"/>
                  <w:tcW w:w="3625" w:type="dxa"/>
                  <w:textDirection w:val="lrTb"/>
                  <w:noWrap w:val="false"/>
                </w:tcPr>
                <w:p>
                  <w:pPr>
                    <w:pStyle w:val="621"/>
                    <w:ind w:hanging="18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caps/>
                      <w:sz w:val="28"/>
                      <w:szCs w:val="28"/>
                    </w:rPr>
                    <w:t xml:space="preserve">Рассмотрено:</w:t>
                  </w:r>
                  <w:r>
                    <w:rPr>
                      <w:rFonts w:eastAsia="Calibri"/>
                      <w:sz w:val="28"/>
                      <w:szCs w:val="28"/>
                    </w:rPr>
                  </w:r>
                </w:p>
                <w:p>
                  <w:pPr>
                    <w:pStyle w:val="621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на заседании методической комиссии экономических и технологических дисциплин</w:t>
                  </w:r>
                  <w:r>
                    <w:rPr>
                      <w:rFonts w:eastAsia="Calibri"/>
                      <w:sz w:val="28"/>
                      <w:szCs w:val="28"/>
                    </w:rPr>
                  </w:r>
                </w:p>
                <w:p>
                  <w:pPr>
                    <w:pStyle w:val="621"/>
                  </w:pPr>
                  <w:r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«   »  июня  202</w:t>
                  </w:r>
                  <w:r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4</w:t>
                  </w:r>
                  <w:r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 г.протокол №    председатель комиссии</w:t>
                  </w:r>
                  <w:r/>
                </w:p>
                <w:p>
                  <w:pPr>
                    <w:pStyle w:val="621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vertAlign w:val="superscript"/>
                      <w:lang w:eastAsia="ru-RU"/>
                    </w:rPr>
                    <w:t xml:space="preserve">                    </w:t>
                  </w:r>
                  <w:r>
                    <mc:AlternateContent>
                      <mc:Choice Requires="wpg">
                        <w:drawing>
                          <wp:inline xmlns:wp="http://schemas.openxmlformats.org/drawingml/2006/wordprocessingDrawing" distT="0" distB="0" distL="0" distR="0">
                            <wp:extent cx="539750" cy="292100"/>
                            <wp:effectExtent l="0" t="0" r="0" b="0"/>
                            <wp:docPr id="1" name="Рисунок 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Рисунок 1" descr=""/>
                                    <pic:cNvPicPr>
                                      <a:picLocks noChangeAspect="1"/>
                                    </pic:cNvPicPr>
                                    <pic:nvPr/>
                                  </pic:nvPicPr>
                                  <pic:blipFill>
                                    <a:blip r:embed="rId9"/>
                                    <a:srcRect l="0" t="14843" r="0" b="1588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39750" cy="292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0" o:spid="_x0000_s0" type="#_x0000_t75" style="width:42.50pt;height:23.00pt;mso-wrap-distance-left:0.00pt;mso-wrap-distance-top:0.00pt;mso-wrap-distance-right:0.00pt;mso-wrap-distance-bottom:0.00pt;" stroked="false">
                            <v:path textboxrect="0,0,0,0"/>
                            <v:imagedata r:id="rId9" o:title=""/>
                          </v:shape>
                        </w:pict>
                      </mc:Fallback>
                    </mc:AlternateContent>
                  </w:r>
                  <w:r>
                    <w:rPr>
                      <w:sz w:val="28"/>
                      <w:szCs w:val="28"/>
                      <w:vertAlign w:val="superscript"/>
                      <w:lang w:eastAsia="ru-RU"/>
                    </w:rPr>
                    <w:t xml:space="preserve">       </w:t>
                  </w:r>
                  <w:r>
                    <w:rPr>
                      <w:sz w:val="28"/>
                      <w:szCs w:val="28"/>
                      <w:lang w:eastAsia="ru-RU"/>
                    </w:rPr>
                    <w:t xml:space="preserve">О.Б. Литвинова</w:t>
                  </w:r>
                  <w:r>
                    <w:rPr>
                      <w:sz w:val="28"/>
                      <w:szCs w:val="28"/>
                      <w:lang w:eastAsia="ru-RU"/>
                    </w:rPr>
                  </w:r>
                </w:p>
                <w:p>
                  <w:pPr>
                    <w:pStyle w:val="621"/>
                    <w:jc w:val="both"/>
                  </w:pPr>
                  <w:r>
                    <w:rPr>
                      <w:sz w:val="24"/>
                      <w:szCs w:val="24"/>
                      <w:vertAlign w:val="superscript"/>
                    </w:rPr>
                    <w:t xml:space="preserve">                      </w:t>
                  </w:r>
                  <w:r>
                    <w:rPr>
                      <w:sz w:val="24"/>
                      <w:szCs w:val="24"/>
                      <w:vertAlign w:val="superscript"/>
                    </w:rPr>
                    <w:t xml:space="preserve">(подпись)</w:t>
                  </w:r>
                  <w:r/>
                </w:p>
              </w:tc>
            </w:tr>
          </w:tbl>
          <w:p>
            <w:pPr>
              <w:pStyle w:val="62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</w:tbl>
    <w:p>
      <w:pPr>
        <w:pStyle w:val="621"/>
        <w:jc w:val="center"/>
        <w:spacing w:before="0"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br w:type="page" w:clear="all"/>
      </w:r>
      <w:r>
        <w:rPr>
          <w:b/>
          <w:sz w:val="28"/>
          <w:szCs w:val="28"/>
        </w:rPr>
      </w:r>
    </w:p>
    <w:p>
      <w:pPr>
        <w:pStyle w:val="621"/>
        <w:jc w:val="center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Перечень </w:t>
      </w:r>
      <w:r>
        <w:rPr>
          <w:b/>
          <w:bCs/>
          <w:sz w:val="28"/>
          <w:szCs w:val="28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76" w:type="dxa"/>
        <w:tblInd w:w="108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84"/>
        <w:gridCol w:w="3005"/>
        <w:gridCol w:w="3402"/>
        <w:gridCol w:w="1985"/>
      </w:tblGrid>
      <w:tr>
        <w:tblPrEx/>
        <w:trPr>
          <w:trHeight w:val="6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Код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621"/>
              <w:jc w:val="center"/>
              <w:spacing w:before="0" w:after="0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ПК, ОК</w:t>
            </w:r>
            <w:r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Знать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 xml:space="preserve">Владеть навыками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ОК 01</w:t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выявлять и эффективно искать информацию, необходимую для решения задачи и/или проблемы, составлять план действия;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определять необходимые ресурсы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сферах;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реализовывать составленный план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оценивать результат и последствия своих действий (самостоятельно или с помощью наставника)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актуальный профессиональный и социальный контекст, в котором приходится работать и жить;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основные источники информации и ресурсы для решения задач и проблем в профессиональном и/или социальном контексте;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алгоритмы выполнения работ 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 профессиональной и смежных областях методы работы в профессиональной и смежных сферах;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структуру плана для решения задач порядок оценки результатов решения задач профессиональной деятельности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ОК 02</w:t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определять задачи для поиска информации; 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определять необходимые источники информации;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планировать процесс поиска;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структурировать получаемую информацию;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выделять наиболее значимое в перечне информации;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оценивать практическую значимость результатов поиска;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оформлять результаты поиска, применять средства информационных технологий для решения профессиональных задач;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использовать современное программное обеспечение;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использовать различные цифровые средства для решения профессиональных задач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номенклатура информационных источников, применяемых в профессиональной деятельности;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приемы структурирования информации;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формат оформления результатов поиска информации, современные средства и устройства информатизации;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порядок их применения и программное обеспечение в профессиональной деятельности в том числе с использованием цифровых средств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ОК 03</w:t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применять современную научную профессиональную терминологию;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определять и выстраивать траектории профессионального развития и самообразования;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выявлять достоинства и недостатки коммерческой идеи;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презентовать идеи открытия собственного дела в профессиональной деятельности; 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оформлять бизнес-план;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рассчитывать размеры выплат по процентным ставкам кредитования;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определять инвестиционную привлекательность коммерческих идей в рамках профессиональной деятельности;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презентовать бизнес-идею;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определять источники финансирования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содержание актуальной нормативно-правовой документации;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современная научная и профессиональная терминология;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возможные траектории профессионального развития и самообразования;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основы предпринимательской деятельности; 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основы финансовой грамотности;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правила разработки бизнес-планов;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порядок выстраивания презентации; 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кредитные банковские продукты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ОК 04</w:t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организовывать работу коллектива и команды;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взаимодействовать с коллегами, руководством, клиентами в ходе профессиональной деятельности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психологические основы деятельности коллектива, психологические особенности личности; 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основы проектной деятельности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ОК 05</w:t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особенности социального и культурного контекста; правила оформления документов и построения устных сообщений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ОК 09</w:t>
            </w:r>
            <w:r>
              <w:rPr>
                <w:rFonts w:eastAsia="Calibri" w:cs="Times New Roman"/>
                <w:sz w:val="24"/>
                <w:szCs w:val="24"/>
              </w:rPr>
            </w:r>
          </w:p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участвовать в диалогах на знакомые общие и профессиональные темы;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строить простые высказывания о себе и о своей профессиональной деятельности;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кратко обосновывать и объяснять свои действия (текущие и планируемые);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писать простые связные сообщения на знакомые или интересующие профессиональные темы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правила построения простых и сложных предложений на профессиональные темы;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основные общеупотребительные глаголы (бытовая и профессиональная лексика);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особенности произношения;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правила чтения текстов профессиональной направленности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ПК 1.2</w:t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выполнять и оформлять расчеты платежными поручениями, аккредитивами, платежными требованиями, инкассовыми поручениями, чеками;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нормативные правовые документы, регулирующие организацию безналичных расчетов;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локальные нормативные акты и методические документы в области платежных услуг;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формы расчетов и технологии совершения расчетных операций;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содержание и порядок заполнения расчетных документов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1.5</w:t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осуществлять контроль за репатриацией валютной выручки</w:t>
            </w: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нормативные правовые документы, регулирующие совершение операций по международным расчетам, связанным с экспортом и импортом товаров и услуг;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нормы международного права, определяющие правила проведения международных расчетов;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формы международных расчетов; </w:t>
            </w:r>
            <w:r>
              <w:rPr>
                <w:rFonts w:eastAsia="Times New Roman" w:cs="Times New Roman"/>
                <w:i/>
                <w:color w:val="ff0000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виды платежных документов, порядок проверки их соответствия условиям и формам расчетов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проводить и отражать в учете расчеты по экспортно-импортным операциям банковскими переводами в порядке документарного инкассо и документарного аккредитива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1.6</w:t>
            </w:r>
            <w:r>
              <w:rPr>
                <w:rFonts w:eastAsia="Calibri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200" w:line="276" w:lineRule="auto"/>
              <w:rPr>
                <w:rFonts w:ascii="Calibri" w:hAnsi="Calibri"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использовать специализированное программное обеспечение совершения операций с платежными картами</w:t>
            </w:r>
            <w:r>
              <w:rPr>
                <w:rFonts w:ascii="Calibri" w:hAnsi="Calibri" w:eastAsia="Times New Roman" w:cs="Times New Roman"/>
                <w:sz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нормативные правовые документы, регулирующие совершение операций с использованием платежных карт;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виды платежных карт и операции, проводимые с их использованием;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условия и порядок выдачи платежных карт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консультировать клиентов по вопросам открытия банковских счетов, расчетным операциям, операциям с использованием различных видов платежных карт; оформлять выдачу клиентам платежных карт;.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rPr>
                <w:rFonts w:eastAsia="Calibri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</w:t>
            </w:r>
            <w:r>
              <w:rPr>
                <w:rFonts w:eastAsia="Calibri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05" w:type="dxa"/>
            <w:textDirection w:val="lrTb"/>
            <w:noWrap w:val="false"/>
          </w:tcPr>
          <w:p>
            <w:pPr>
              <w:pStyle w:val="621"/>
              <w:spacing w:before="0" w:after="200" w:line="276" w:lineRule="auto"/>
              <w:rPr>
                <w:rFonts w:ascii="Calibri" w:hAnsi="Calibri"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консультировать заемщиков по условиям предоставления и порядку погашения кредитов</w:t>
            </w:r>
            <w:r>
              <w:rPr>
                <w:rFonts w:ascii="Calibri" w:hAnsi="Calibri" w:eastAsia="Times New Roman" w:cs="Times New Roman"/>
                <w:sz w:val="22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нормативные правовые акты, регулирующие осуществление кредитных операций и обеспечение кредитных обязательств;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законодательство Российской Федерации о персональных данных;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законодательство Российской Федерации о защите прав потребителей, в том числе потребителей финансовых услуг;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требования, предъявляемые банком к потенциальному заемщику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621"/>
              <w:spacing w:before="0"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консультировать заемщиков по условиям предоставления и порядк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 погашения кредитов; анализировать финансовое положение заемщика - юридического лица и технико-экономическое обоснование кредита; определять платежеспособность физического лица; оценивать качество обеспечения и кредитные риски по потребительским кредитам.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1134" w:right="1701" w:bottom="1134" w:left="851" w:header="0" w:footer="0" w:gutter="0"/>
          <w:cols w:num="1" w:sep="0" w:space="1701" w:equalWidth="1"/>
          <w:docGrid w:linePitch="360"/>
        </w:sectPr>
      </w:pPr>
      <w:r/>
      <w:r/>
    </w:p>
    <w:p>
      <w:pPr>
        <w:pStyle w:val="621"/>
        <w:jc w:val="center"/>
      </w:pPr>
      <w:r>
        <w:rPr>
          <w:b/>
          <w:sz w:val="28"/>
          <w:szCs w:val="28"/>
        </w:rPr>
        <w:t xml:space="preserve">Перечень оценочных средств текущего контроля успеваемости</w:t>
      </w:r>
      <w:r/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Оценочные средства текущего контроля успеваемости:  </w:t>
      </w:r>
      <w:r>
        <w:rPr>
          <w:sz w:val="28"/>
          <w:szCs w:val="28"/>
        </w:rPr>
      </w:r>
    </w:p>
    <w:p>
      <w:pPr>
        <w:pStyle w:val="649"/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Индивидуальный устный опрос</w:t>
      </w:r>
      <w:r>
        <w:rPr>
          <w:b/>
          <w:i/>
          <w:sz w:val="28"/>
          <w:szCs w:val="28"/>
        </w:rPr>
      </w:r>
    </w:p>
    <w:p>
      <w:pPr>
        <w:pStyle w:val="62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</w:t>
      </w:r>
      <w:r>
        <w:rPr>
          <w:b w:val="0"/>
          <w:bCs w:val="0"/>
          <w:sz w:val="28"/>
          <w:szCs w:val="28"/>
        </w:rPr>
        <w:t xml:space="preserve">Понятие и субъекты предпринимательской деятельности</w:t>
      </w:r>
      <w:r>
        <w:rPr>
          <w:b/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1.Понятие и содержание предпринимательства.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2.Деловые интересы в предпринимательстве.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3.Субъекты бизнеса.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4.Предприятие в системе бизнеса.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5.Конкуренция в бизнесе.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2</w:t>
      </w:r>
      <w:r>
        <w:rPr>
          <w:sz w:val="28"/>
          <w:szCs w:val="28"/>
        </w:rPr>
        <w:t xml:space="preserve">. Организационно-правовые формы юридических лиц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1.Виды предпринимательской деятельности: производственная, коммерческая, финансовая.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2.Характеристика производственной деятельности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3.Характеристика и сущность коммерческой деятельности.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4.Сущность и задачи финансовой деятельности.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 Способы организации своего дела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1.Организационно-правовые формы бизнеса.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2.Процедура государственной регистрации предпринимательской деятельности.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3Предпринимательский договор, понятие, виды, этапы составления. 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5.</w:t>
      </w:r>
      <w:r>
        <w:rPr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 xml:space="preserve">Государственная регистрация предпринимателя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Порядок регистрации индивидуального предпринимателя, основные этапы и необходимые документы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Этапы государственной регистрации юридического лица и необходимые документы.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Учредительные документы юридического лица. Случаи отказа в регистрации ИП и ЮЛ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6.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Налогообложение предпринимательской деятельности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Система налогов и сборов РФ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Общая характеристика налогов, уплачиваемых предприятиями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Специальные налоговые режимы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2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8 </w:t>
      </w:r>
      <w:r>
        <w:rPr>
          <w:b w:val="0"/>
          <w:bCs w:val="0"/>
          <w:sz w:val="28"/>
          <w:szCs w:val="28"/>
        </w:rPr>
        <w:t xml:space="preserve">Финансовое обеспечение предпринимательской деятельности</w:t>
      </w:r>
      <w:r>
        <w:rPr>
          <w:b/>
          <w:bCs/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Финансовая деятельность в организации.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Инвестиционная деятельность в организации.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3.Формирование имущества и источники финансирования  предпринимательской деятельности.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4. Основные показатели эффективности предпринимательской деятельности</w:t>
      </w:r>
      <w:r>
        <w:rPr>
          <w:sz w:val="28"/>
          <w:szCs w:val="28"/>
        </w:rPr>
      </w:r>
    </w:p>
    <w:p>
      <w:pPr>
        <w:pStyle w:val="62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</w:t>
      </w:r>
      <w:r>
        <w:rPr>
          <w:b/>
          <w:sz w:val="28"/>
          <w:szCs w:val="28"/>
        </w:rPr>
      </w:r>
    </w:p>
    <w:p>
      <w:pPr>
        <w:pStyle w:val="621"/>
        <w:rPr>
          <w:sz w:val="28"/>
          <w:szCs w:val="28"/>
        </w:rPr>
      </w:pPr>
      <w:r>
        <w:rPr>
          <w:bCs/>
          <w:sz w:val="28"/>
          <w:szCs w:val="28"/>
        </w:rPr>
        <w:t xml:space="preserve">Отдельные студенты </w:t>
      </w:r>
      <w:r>
        <w:rPr>
          <w:sz w:val="28"/>
          <w:szCs w:val="28"/>
        </w:rPr>
        <w:t xml:space="preserve">дают устные ответы на вопросы преподавателя. Студенты отвечают по желанию ( поднимают руку и сообщают что хотят высказаться) или преподаватель сам выбирает отвечающего. </w:t>
      </w:r>
      <w:r>
        <w:rPr>
          <w:sz w:val="28"/>
          <w:szCs w:val="28"/>
        </w:rPr>
      </w:r>
    </w:p>
    <w:p>
      <w:pPr>
        <w:pStyle w:val="62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</w:t>
      </w:r>
      <w:r>
        <w:rPr>
          <w:b/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«отлично»  </w:t>
      </w:r>
      <w:r>
        <w:rPr>
          <w:sz w:val="28"/>
          <w:szCs w:val="28"/>
        </w:rPr>
        <w:t xml:space="preserve">выставляется обучающемуся, если даны подробные ответы на вопросы с приведением соответствующих примеров.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«хорошо»  </w:t>
      </w:r>
      <w:r>
        <w:rPr>
          <w:sz w:val="28"/>
          <w:szCs w:val="28"/>
        </w:rPr>
        <w:t xml:space="preserve">выставляется обучающемуся если ответы имеют несущественные ошибки.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«удовлетворительно»  </w:t>
      </w:r>
      <w:r>
        <w:rPr>
          <w:sz w:val="28"/>
          <w:szCs w:val="28"/>
        </w:rPr>
        <w:t xml:space="preserve">выставляется обучающемуся если он не смог привести конкретные примеры по рассматриваемым понятиям.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«неудовлетворительно»  </w:t>
      </w:r>
      <w:r>
        <w:rPr>
          <w:sz w:val="28"/>
          <w:szCs w:val="28"/>
        </w:rPr>
        <w:t xml:space="preserve">выставляется обучающемуся если он не смог верно сформулировать основные определения и привести конкретные примеры.</w:t>
      </w:r>
      <w:r>
        <w:rPr>
          <w:sz w:val="28"/>
          <w:szCs w:val="28"/>
        </w:rPr>
      </w:r>
    </w:p>
    <w:p>
      <w:pPr>
        <w:pStyle w:val="62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</w:pPr>
      <w:r>
        <w:rPr>
          <w:b/>
          <w:sz w:val="28"/>
          <w:szCs w:val="28"/>
        </w:rPr>
        <w:t xml:space="preserve">Перечень  расчетных задач</w:t>
      </w:r>
      <w:r/>
    </w:p>
    <w:p>
      <w:pPr>
        <w:pStyle w:val="621"/>
      </w:pPr>
      <w:r/>
      <w:r/>
    </w:p>
    <w:p>
      <w:pPr>
        <w:pStyle w:val="651"/>
        <w:ind w:left="360" w:firstLine="0"/>
        <w:shd w:val="clear" w:color="auto" w:fill="ffffff"/>
        <w:tabs>
          <w:tab w:val="clear" w:pos="708" w:leader="none"/>
          <w:tab w:val="left" w:pos="1276" w:leader="none"/>
          <w:tab w:val="left" w:pos="2192" w:leader="none"/>
          <w:tab w:val="left" w:pos="3108" w:leader="none"/>
          <w:tab w:val="left" w:pos="4024" w:leader="none"/>
          <w:tab w:val="left" w:pos="4940" w:leader="none"/>
          <w:tab w:val="left" w:pos="5856" w:leader="none"/>
          <w:tab w:val="left" w:pos="6772" w:leader="none"/>
          <w:tab w:val="left" w:pos="7688" w:leader="none"/>
          <w:tab w:val="left" w:pos="8604" w:leader="none"/>
          <w:tab w:val="left" w:pos="9520" w:leader="none"/>
          <w:tab w:val="left" w:pos="10436" w:leader="none"/>
          <w:tab w:val="left" w:pos="11352" w:leader="none"/>
          <w:tab w:val="left" w:pos="12268" w:leader="none"/>
          <w:tab w:val="left" w:pos="13184" w:leader="none"/>
          <w:tab w:val="left" w:pos="14100" w:leader="none"/>
          <w:tab w:val="left" w:pos="15016" w:leader="none"/>
        </w:tabs>
      </w:pPr>
      <w:r>
        <w:rPr>
          <w:rFonts w:eastAsia="Times New Roman" w:cs="Times New Roman"/>
          <w:b/>
          <w:bCs/>
          <w:sz w:val="28"/>
          <w:szCs w:val="28"/>
        </w:rPr>
        <w:t xml:space="preserve">Тема 4.</w:t>
      </w:r>
      <w:r>
        <w:rPr>
          <w:rFonts w:eastAsia="Times New Roman" w:cs="Times New Roman"/>
          <w:bCs/>
          <w:sz w:val="28"/>
          <w:szCs w:val="28"/>
        </w:rPr>
        <w:t xml:space="preserve"> Финансовое обеспечение предпринимательской деятельности</w:t>
      </w:r>
      <w:r/>
    </w:p>
    <w:p>
      <w:pPr>
        <w:pStyle w:val="621"/>
        <w:ind w:left="360" w:firstLine="0"/>
        <w:shd w:val="clear" w:color="auto" w:fill="ffffff"/>
        <w:tabs>
          <w:tab w:val="clear" w:pos="708" w:leader="none"/>
          <w:tab w:val="left" w:pos="1276" w:leader="none"/>
          <w:tab w:val="left" w:pos="2192" w:leader="none"/>
          <w:tab w:val="left" w:pos="3108" w:leader="none"/>
          <w:tab w:val="left" w:pos="4024" w:leader="none"/>
          <w:tab w:val="left" w:pos="4940" w:leader="none"/>
          <w:tab w:val="left" w:pos="5856" w:leader="none"/>
          <w:tab w:val="left" w:pos="6772" w:leader="none"/>
          <w:tab w:val="left" w:pos="7688" w:leader="none"/>
          <w:tab w:val="left" w:pos="8604" w:leader="none"/>
          <w:tab w:val="left" w:pos="9520" w:leader="none"/>
          <w:tab w:val="left" w:pos="10436" w:leader="none"/>
          <w:tab w:val="left" w:pos="11352" w:leader="none"/>
          <w:tab w:val="left" w:pos="12268" w:leader="none"/>
          <w:tab w:val="left" w:pos="13184" w:leader="none"/>
          <w:tab w:val="left" w:pos="14100" w:leader="none"/>
          <w:tab w:val="left" w:pos="15016" w:leader="none"/>
        </w:tabs>
      </w:pPr>
      <w:r>
        <w:rPr>
          <w:sz w:val="28"/>
        </w:rPr>
        <w:t xml:space="preserve">1. Себестоимость  единицы продукции до осуществления капитальных вложений составляла 445 руб., после дополнительно проведенных капитальных вложений по ме</w:t>
      </w:r>
      <w:r>
        <w:rPr>
          <w:sz w:val="28"/>
        </w:rPr>
        <w:t xml:space="preserve">ханизации  производственных процессов на сумму 850 тыс. руб., себестоимость  единицы продукции составила 418 руб. Годовой объем продукции  составил 15 000 единиц. Определите эффективность капитальных вложений (срок окупаемости и коэффициент эффективности).</w:t>
      </w:r>
      <w:r/>
    </w:p>
    <w:p>
      <w:pPr>
        <w:pStyle w:val="621"/>
        <w:ind w:left="360" w:firstLine="0"/>
        <w:shd w:val="clear" w:color="auto" w:fill="ffffff"/>
        <w:tabs>
          <w:tab w:val="clear" w:pos="708" w:leader="none"/>
          <w:tab w:val="left" w:pos="1276" w:leader="none"/>
          <w:tab w:val="left" w:pos="2192" w:leader="none"/>
          <w:tab w:val="left" w:pos="3108" w:leader="none"/>
          <w:tab w:val="left" w:pos="4024" w:leader="none"/>
          <w:tab w:val="left" w:pos="4940" w:leader="none"/>
          <w:tab w:val="left" w:pos="5856" w:leader="none"/>
          <w:tab w:val="left" w:pos="6772" w:leader="none"/>
          <w:tab w:val="left" w:pos="7688" w:leader="none"/>
          <w:tab w:val="left" w:pos="8604" w:leader="none"/>
          <w:tab w:val="left" w:pos="9520" w:leader="none"/>
          <w:tab w:val="left" w:pos="10436" w:leader="none"/>
          <w:tab w:val="left" w:pos="11352" w:leader="none"/>
          <w:tab w:val="left" w:pos="12268" w:leader="none"/>
          <w:tab w:val="left" w:pos="13184" w:leader="none"/>
          <w:tab w:val="left" w:pos="14100" w:leader="none"/>
          <w:tab w:val="left" w:pos="15016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360" w:firstLine="0"/>
        <w:shd w:val="clear" w:color="auto" w:fill="ffffff"/>
        <w:tabs>
          <w:tab w:val="clear" w:pos="708" w:leader="none"/>
          <w:tab w:val="left" w:pos="1276" w:leader="none"/>
          <w:tab w:val="left" w:pos="2192" w:leader="none"/>
          <w:tab w:val="left" w:pos="3108" w:leader="none"/>
          <w:tab w:val="left" w:pos="4024" w:leader="none"/>
          <w:tab w:val="left" w:pos="4940" w:leader="none"/>
          <w:tab w:val="left" w:pos="5856" w:leader="none"/>
          <w:tab w:val="left" w:pos="6772" w:leader="none"/>
          <w:tab w:val="left" w:pos="7688" w:leader="none"/>
          <w:tab w:val="left" w:pos="8604" w:leader="none"/>
          <w:tab w:val="left" w:pos="9520" w:leader="none"/>
          <w:tab w:val="left" w:pos="10436" w:leader="none"/>
          <w:tab w:val="left" w:pos="11352" w:leader="none"/>
          <w:tab w:val="left" w:pos="12268" w:leader="none"/>
          <w:tab w:val="left" w:pos="13184" w:leader="none"/>
          <w:tab w:val="left" w:pos="14100" w:leader="none"/>
          <w:tab w:val="left" w:pos="15016" w:leader="none"/>
        </w:tabs>
      </w:pPr>
      <w:r>
        <w:rPr>
          <w:sz w:val="28"/>
        </w:rPr>
        <w:t xml:space="preserve">2. </w:t>
      </w:r>
      <w:r>
        <w:rPr>
          <w:rFonts w:eastAsia="Calibri"/>
          <w:sz w:val="28"/>
          <w:szCs w:val="28"/>
        </w:rPr>
        <w:t xml:space="preserve">Коммерческая себестоимость изделия – 90 руб. уровень рентабельности – 25% к себестоимости, акциз – 15 руб. на единицу изделия, налог на добавленную стоимость – 18% от оптовой цены предприятия, посредническо-сбытовая нац</w:t>
      </w:r>
      <w:r>
        <w:rPr>
          <w:rFonts w:eastAsia="Calibri"/>
          <w:sz w:val="28"/>
          <w:szCs w:val="28"/>
        </w:rPr>
        <w:t xml:space="preserve">енка посреднической организации – 20% от закупочной цены, торговая наценка – 10% от закупочной цены.Определить: прибыль предприятия на одно изделие, оптовую цену предприятия, отпускную цену с НДС, посредническую и торговую надбавки, розничную цену изделия.</w:t>
      </w:r>
      <w:r/>
    </w:p>
    <w:p>
      <w:pPr>
        <w:pStyle w:val="621"/>
        <w:ind w:left="360" w:firstLine="0"/>
        <w:shd w:val="clear" w:color="auto" w:fill="ffffff"/>
        <w:tabs>
          <w:tab w:val="clear" w:pos="708" w:leader="none"/>
          <w:tab w:val="left" w:pos="1276" w:leader="none"/>
          <w:tab w:val="left" w:pos="2192" w:leader="none"/>
          <w:tab w:val="left" w:pos="3108" w:leader="none"/>
          <w:tab w:val="left" w:pos="4024" w:leader="none"/>
          <w:tab w:val="left" w:pos="4940" w:leader="none"/>
          <w:tab w:val="left" w:pos="5856" w:leader="none"/>
          <w:tab w:val="left" w:pos="6772" w:leader="none"/>
          <w:tab w:val="left" w:pos="7688" w:leader="none"/>
          <w:tab w:val="left" w:pos="8604" w:leader="none"/>
          <w:tab w:val="left" w:pos="9520" w:leader="none"/>
          <w:tab w:val="left" w:pos="10436" w:leader="none"/>
          <w:tab w:val="left" w:pos="11352" w:leader="none"/>
          <w:tab w:val="left" w:pos="12268" w:leader="none"/>
          <w:tab w:val="left" w:pos="13184" w:leader="none"/>
          <w:tab w:val="left" w:pos="14100" w:leader="none"/>
          <w:tab w:val="left" w:pos="15016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621"/>
        <w:ind w:left="360" w:firstLine="349"/>
        <w:shd w:val="clear" w:color="auto" w:fill="ffffff"/>
        <w:tabs>
          <w:tab w:val="clear" w:pos="708" w:leader="none"/>
          <w:tab w:val="left" w:pos="1276" w:leader="none"/>
          <w:tab w:val="left" w:pos="2192" w:leader="none"/>
          <w:tab w:val="left" w:pos="3108" w:leader="none"/>
          <w:tab w:val="left" w:pos="4024" w:leader="none"/>
          <w:tab w:val="left" w:pos="4940" w:leader="none"/>
          <w:tab w:val="left" w:pos="5856" w:leader="none"/>
          <w:tab w:val="left" w:pos="6772" w:leader="none"/>
          <w:tab w:val="left" w:pos="7688" w:leader="none"/>
          <w:tab w:val="left" w:pos="8604" w:leader="none"/>
          <w:tab w:val="left" w:pos="9520" w:leader="none"/>
          <w:tab w:val="left" w:pos="10436" w:leader="none"/>
          <w:tab w:val="left" w:pos="11352" w:leader="none"/>
          <w:tab w:val="left" w:pos="12268" w:leader="none"/>
          <w:tab w:val="left" w:pos="13184" w:leader="none"/>
          <w:tab w:val="left" w:pos="14100" w:leader="none"/>
          <w:tab w:val="left" w:pos="15016" w:leader="none"/>
        </w:tabs>
      </w:pPr>
      <w:r>
        <w:rPr>
          <w:rFonts w:eastAsia="Calibri"/>
          <w:sz w:val="28"/>
          <w:szCs w:val="28"/>
        </w:rPr>
        <w:t xml:space="preserve">3. Предприятие реализовало продукции на сумму 8150 тыс. руб. при этом полная себестоимость реализованной продукции составила 6300 тыс. руб.  Определить прибыль от реализации продукции и уровень рентабельности.</w:t>
      </w:r>
      <w:r/>
    </w:p>
    <w:p>
      <w:pPr>
        <w:pStyle w:val="621"/>
        <w:ind w:left="360" w:firstLine="349"/>
        <w:shd w:val="clear" w:color="auto" w:fill="ffffff"/>
        <w:tabs>
          <w:tab w:val="clear" w:pos="708" w:leader="none"/>
          <w:tab w:val="left" w:pos="1276" w:leader="none"/>
          <w:tab w:val="left" w:pos="2192" w:leader="none"/>
          <w:tab w:val="left" w:pos="3108" w:leader="none"/>
          <w:tab w:val="left" w:pos="4024" w:leader="none"/>
          <w:tab w:val="left" w:pos="4940" w:leader="none"/>
          <w:tab w:val="left" w:pos="5856" w:leader="none"/>
          <w:tab w:val="left" w:pos="6772" w:leader="none"/>
          <w:tab w:val="left" w:pos="7688" w:leader="none"/>
          <w:tab w:val="left" w:pos="8604" w:leader="none"/>
          <w:tab w:val="left" w:pos="9520" w:leader="none"/>
          <w:tab w:val="left" w:pos="10436" w:leader="none"/>
          <w:tab w:val="left" w:pos="11352" w:leader="none"/>
          <w:tab w:val="left" w:pos="12268" w:leader="none"/>
          <w:tab w:val="left" w:pos="13184" w:leader="none"/>
          <w:tab w:val="left" w:pos="14100" w:leader="none"/>
          <w:tab w:val="left" w:pos="15016" w:leader="none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651"/>
        <w:ind w:left="360" w:firstLine="349"/>
        <w:shd w:val="clear" w:color="auto" w:fill="ffffff"/>
        <w:tabs>
          <w:tab w:val="clear" w:pos="708" w:leader="none"/>
          <w:tab w:val="left" w:pos="1276" w:leader="none"/>
          <w:tab w:val="left" w:pos="2192" w:leader="none"/>
          <w:tab w:val="left" w:pos="3108" w:leader="none"/>
          <w:tab w:val="left" w:pos="4024" w:leader="none"/>
          <w:tab w:val="left" w:pos="4940" w:leader="none"/>
          <w:tab w:val="left" w:pos="5856" w:leader="none"/>
          <w:tab w:val="left" w:pos="6772" w:leader="none"/>
          <w:tab w:val="left" w:pos="7688" w:leader="none"/>
          <w:tab w:val="left" w:pos="8604" w:leader="none"/>
          <w:tab w:val="left" w:pos="9520" w:leader="none"/>
          <w:tab w:val="left" w:pos="10436" w:leader="none"/>
          <w:tab w:val="left" w:pos="11352" w:leader="none"/>
          <w:tab w:val="left" w:pos="12268" w:leader="none"/>
          <w:tab w:val="left" w:pos="13184" w:leader="none"/>
          <w:tab w:val="left" w:pos="14100" w:leader="none"/>
          <w:tab w:val="left" w:pos="15016" w:leader="none"/>
        </w:tabs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Тема 6.</w:t>
      </w:r>
      <w:r>
        <w:rPr>
          <w:rFonts w:eastAsia="Times New Roman" w:cs="Times New Roman"/>
          <w:bCs/>
          <w:sz w:val="28"/>
          <w:szCs w:val="28"/>
        </w:rPr>
        <w:t xml:space="preserve">  Риски предпринимательской деятельности</w:t>
      </w:r>
      <w:r>
        <w:rPr>
          <w:rFonts w:eastAsia="Times New Roman" w:cs="Times New Roman"/>
          <w:bCs/>
          <w:sz w:val="28"/>
          <w:szCs w:val="28"/>
        </w:rPr>
      </w:r>
    </w:p>
    <w:p>
      <w:pPr>
        <w:pStyle w:val="649"/>
        <w:ind w:left="360" w:firstLine="349"/>
        <w:jc w:val="both"/>
      </w:pPr>
      <w:r>
        <w:rPr>
          <w:sz w:val="28"/>
          <w:szCs w:val="28"/>
        </w:rPr>
        <w:t xml:space="preserve">1. Предприятие реализовало продукции на сумму 8150 тыс. руб. при этом полная себестоимость реализованной продукции составила 6300 тыс. руб.  Определить прибыль от реализации продукции и уровень рентабельности.</w:t>
      </w:r>
      <w:r/>
    </w:p>
    <w:p>
      <w:pPr>
        <w:pStyle w:val="649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9"/>
        <w:ind w:left="360" w:firstLine="349"/>
        <w:jc w:val="both"/>
      </w:pPr>
      <w:r>
        <w:rPr>
          <w:sz w:val="28"/>
          <w:szCs w:val="28"/>
        </w:rPr>
        <w:t xml:space="preserve">2. Предприятие производит изделие по цене 210 тыс ден ед. Общие пост </w:t>
      </w:r>
      <w:r>
        <w:rPr>
          <w:sz w:val="28"/>
          <w:szCs w:val="28"/>
        </w:rPr>
        <w:t xml:space="preserve">расходы на него = 2000 тыс. Удел переем расходы в первом квартале = 160 тыс. Во втором цены на материалы снизились на 10%, что привело к снижению удельных переменных расходов на 10%. Определить, как повлияло на Критический объем изменение цен на материалы.</w:t>
      </w:r>
      <w:r/>
    </w:p>
    <w:p>
      <w:pPr>
        <w:pStyle w:val="621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9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ind w:left="360" w:firstLine="349"/>
        <w:jc w:val="both"/>
        <w:rPr>
          <w:b/>
          <w:sz w:val="28"/>
        </w:rPr>
      </w:pPr>
      <w:r>
        <w:rPr>
          <w:b/>
          <w:sz w:val="28"/>
        </w:rPr>
        <w:t xml:space="preserve">Методика проведения</w:t>
      </w:r>
      <w:r>
        <w:rPr>
          <w:b/>
          <w:sz w:val="28"/>
        </w:rPr>
      </w:r>
    </w:p>
    <w:p>
      <w:pPr>
        <w:pStyle w:val="621"/>
        <w:ind w:left="360" w:firstLine="349"/>
        <w:jc w:val="both"/>
        <w:rPr>
          <w:sz w:val="28"/>
        </w:rPr>
      </w:pPr>
      <w:r>
        <w:rPr>
          <w:bCs/>
          <w:sz w:val="28"/>
        </w:rPr>
        <w:t xml:space="preserve">Студенты </w:t>
      </w:r>
      <w:r>
        <w:rPr>
          <w:sz w:val="28"/>
        </w:rPr>
        <w:t xml:space="preserve">индивидуально решают практические задачи в рабочих тетрадях. В случае возникновения затруднений вопросы решаются совместно. В результате решения задач студенты получают зачет по практической работе, который является обязательным для всех обучающихся.</w:t>
      </w:r>
      <w:r>
        <w:rPr>
          <w:sz w:val="28"/>
        </w:rPr>
      </w:r>
    </w:p>
    <w:p>
      <w:pPr>
        <w:pStyle w:val="621"/>
        <w:ind w:left="360" w:firstLine="349"/>
        <w:jc w:val="both"/>
        <w:rPr>
          <w:b/>
          <w:sz w:val="28"/>
        </w:rPr>
      </w:pPr>
      <w:r>
        <w:rPr>
          <w:b/>
          <w:sz w:val="28"/>
        </w:rPr>
        <w:t xml:space="preserve">Критерии оценивания</w:t>
      </w:r>
      <w:r>
        <w:rPr>
          <w:b/>
          <w:sz w:val="28"/>
        </w:rPr>
      </w:r>
    </w:p>
    <w:p>
      <w:pPr>
        <w:pStyle w:val="621"/>
        <w:ind w:left="360" w:firstLine="349"/>
        <w:jc w:val="both"/>
        <w:rPr>
          <w:sz w:val="28"/>
        </w:rPr>
      </w:pPr>
      <w:r>
        <w:rPr>
          <w:sz w:val="28"/>
        </w:rPr>
        <w:t xml:space="preserve">«зачтено»  выставляется обучающемуся, если все задачи решены правильно. Студент ответил на контрольные вопросы.  В противном случае задание дорабатывается.</w:t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ind w:left="720" w:firstLine="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21"/>
        <w:rPr>
          <w:sz w:val="28"/>
        </w:rPr>
      </w:pPr>
      <w:r>
        <w:rPr>
          <w:sz w:val="28"/>
        </w:rPr>
      </w:r>
      <w:r>
        <w:br w:type="page" w:clear="all"/>
      </w:r>
      <w:r>
        <w:rPr>
          <w:sz w:val="28"/>
        </w:rPr>
      </w:r>
    </w:p>
    <w:p>
      <w:pPr>
        <w:pStyle w:val="621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Департамент образования вологодской области</w:t>
      </w:r>
      <w:r>
        <w:rPr>
          <w:caps/>
          <w:sz w:val="24"/>
          <w:szCs w:val="24"/>
        </w:rPr>
      </w:r>
    </w:p>
    <w:p>
      <w:pPr>
        <w:pStyle w:val="621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caps/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621"/>
        <w:ind w:left="504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УТВЕРЖДАЮ</w:t>
      </w:r>
      <w:r>
        <w:rPr>
          <w:b/>
          <w:sz w:val="24"/>
          <w:szCs w:val="24"/>
        </w:rPr>
      </w:r>
    </w:p>
    <w:p>
      <w:pPr>
        <w:pStyle w:val="621"/>
        <w:ind w:left="4956" w:firstLine="0"/>
        <w:jc w:val="both"/>
        <w:spacing w:line="252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Директор колледжа</w:t>
      </w:r>
      <w:r>
        <w:rPr>
          <w:sz w:val="24"/>
          <w:szCs w:val="24"/>
        </w:rPr>
      </w:r>
    </w:p>
    <w:p>
      <w:pPr>
        <w:pStyle w:val="621"/>
        <w:ind w:left="50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</w:t>
      </w:r>
      <w:r>
        <w:rPr>
          <w:sz w:val="24"/>
          <w:szCs w:val="24"/>
          <w:lang w:eastAsia="ru-RU"/>
        </w:rPr>
        <w:t xml:space="preserve"> Л.А. Климина</w:t>
      </w:r>
      <w:r>
        <w:rPr>
          <w:sz w:val="24"/>
          <w:szCs w:val="24"/>
        </w:rPr>
      </w:r>
    </w:p>
    <w:p>
      <w:pPr>
        <w:pStyle w:val="621"/>
        <w:ind w:left="5040" w:firstLine="0"/>
        <w:jc w:val="both"/>
      </w:pPr>
      <w:r>
        <w:rPr>
          <w:sz w:val="24"/>
          <w:szCs w:val="24"/>
        </w:rPr>
        <w:t xml:space="preserve">«____» ______________2024 г.</w:t>
      </w:r>
      <w:r/>
    </w:p>
    <w:p>
      <w:pPr>
        <w:pStyle w:val="621"/>
        <w:jc w:val="both"/>
        <w:widowControl w:val="off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pStyle w:val="621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ОПИСЬ</w:t>
      </w:r>
      <w:r>
        <w:rPr>
          <w:b/>
          <w:caps/>
          <w:sz w:val="24"/>
          <w:szCs w:val="24"/>
        </w:rPr>
      </w:r>
    </w:p>
    <w:p>
      <w:pPr>
        <w:pStyle w:val="621"/>
        <w:ind w:left="916" w:hanging="916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билетов для дифференцированного зачета по дисциплине Основы предпринимательской деятельности</w:t>
      </w:r>
      <w:r/>
    </w:p>
    <w:p>
      <w:pPr>
        <w:pStyle w:val="621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sz w:val="28"/>
          <w:szCs w:val="28"/>
          <w:lang w:eastAsia="ru-RU"/>
        </w:rPr>
        <w:t xml:space="preserve">38.02.07 «Банковское дело»</w:t>
      </w:r>
      <w:r>
        <w:rPr>
          <w:sz w:val="28"/>
          <w:szCs w:val="28"/>
        </w:rPr>
      </w:r>
    </w:p>
    <w:p>
      <w:pPr>
        <w:pStyle w:val="621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sz w:val="28"/>
          <w:szCs w:val="28"/>
        </w:rPr>
        <w:t xml:space="preserve">для студентов 531 группы</w:t>
      </w:r>
      <w:r/>
    </w:p>
    <w:p>
      <w:pPr>
        <w:pStyle w:val="621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621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571" w:type="dxa"/>
        <w:tblInd w:w="-108" w:type="dxa"/>
        <w:tblCellMar>
          <w:left w:w="10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5"/>
        <w:gridCol w:w="5495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4075" w:type="dxa"/>
            <w:textDirection w:val="lrTb"/>
            <w:noWrap w:val="false"/>
          </w:tcPr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Разработано: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5495" w:type="dxa"/>
            <w:textDirection w:val="lrTb"/>
            <w:noWrap w:val="false"/>
          </w:tcPr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Рассмотрено: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4075" w:type="dxa"/>
            <w:textDirection w:val="lrTb"/>
            <w:noWrap w:val="false"/>
          </w:tcPr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</w:t>
            </w:r>
            <w:r>
              <w:rPr>
                <w:sz w:val="24"/>
                <w:szCs w:val="24"/>
              </w:rPr>
            </w:r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Варзина НБ</w:t>
            </w:r>
            <w:r>
              <w:rPr>
                <w:sz w:val="24"/>
                <w:szCs w:val="24"/>
              </w:rPr>
            </w:r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4"/>
                <w:szCs w:val="24"/>
              </w:rPr>
              <w:t xml:space="preserve">«__» _______________ 2024г.</w:t>
            </w:r>
            <w:r/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5495" w:type="dxa"/>
            <w:textDirection w:val="lrTb"/>
            <w:noWrap w:val="false"/>
          </w:tcPr>
          <w:p>
            <w:pPr>
              <w:pStyle w:val="621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 </w:t>
            </w:r>
            <w:r>
              <w:rPr>
                <w:rFonts w:eastAsia="Calibri"/>
                <w:sz w:val="22"/>
                <w:szCs w:val="22"/>
              </w:rPr>
              <w:t xml:space="preserve">экономических, технологических и </w:t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pStyle w:val="621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бухгалтерских дисциплин</w:t>
            </w:r>
            <w:r>
              <w:rPr>
                <w:rFonts w:eastAsia="Calibri"/>
                <w:sz w:val="22"/>
                <w:szCs w:val="22"/>
              </w:rPr>
            </w:r>
          </w:p>
          <w:p>
            <w:pPr>
              <w:pStyle w:val="62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pStyle w:val="62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№_______</w:t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pStyle w:val="621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от «_____»_________________20</w:t>
            </w:r>
            <w:r>
              <w:rPr>
                <w:sz w:val="24"/>
                <w:szCs w:val="24"/>
              </w:rPr>
              <w:t xml:space="preserve">24 </w:t>
            </w:r>
            <w:r>
              <w:rPr>
                <w:sz w:val="24"/>
                <w:szCs w:val="24"/>
                <w:lang w:eastAsia="ru-RU"/>
              </w:rPr>
              <w:t xml:space="preserve">г.</w:t>
            </w:r>
            <w:r/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  <w:lang w:eastAsia="ru-RU"/>
              </w:rPr>
              <w:t xml:space="preserve">редседател</w:t>
            </w:r>
            <w:r>
              <w:rPr>
                <w:sz w:val="24"/>
                <w:szCs w:val="24"/>
              </w:rPr>
              <w:t xml:space="preserve">ь</w:t>
            </w:r>
            <w:r>
              <w:rPr>
                <w:sz w:val="24"/>
                <w:szCs w:val="24"/>
                <w:lang w:eastAsia="ru-RU"/>
              </w:rPr>
              <w:t xml:space="preserve"> методической комиссии</w:t>
            </w:r>
            <w:r>
              <w:rPr>
                <w:sz w:val="24"/>
                <w:szCs w:val="24"/>
              </w:rPr>
            </w:r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________________О.Б. Литвинова</w:t>
            </w:r>
            <w:r>
              <w:rPr>
                <w:sz w:val="24"/>
                <w:szCs w:val="24"/>
              </w:rPr>
            </w:r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>
              <w:rPr>
                <w:sz w:val="24"/>
                <w:szCs w:val="24"/>
              </w:rPr>
              <w:t xml:space="preserve">«___» _______________ 2024 г.</w:t>
            </w:r>
            <w:r/>
          </w:p>
          <w:p>
            <w:pPr>
              <w:pStyle w:val="621"/>
              <w:jc w:val="both"/>
              <w:widowControl w:val="off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1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Вологда</w:t>
      </w:r>
      <w:r>
        <w:rPr>
          <w:sz w:val="24"/>
          <w:szCs w:val="24"/>
        </w:rPr>
      </w:r>
    </w:p>
    <w:p>
      <w:pPr>
        <w:pStyle w:val="621"/>
        <w:jc w:val="center"/>
      </w:pPr>
      <w:r>
        <w:rPr>
          <w:bCs/>
          <w:sz w:val="24"/>
          <w:szCs w:val="24"/>
        </w:rPr>
        <w:t xml:space="preserve">2024</w:t>
      </w:r>
      <w:bookmarkStart w:id="0" w:name="_GoBack"/>
      <w:r/>
      <w:bookmarkEnd w:id="0"/>
      <w:r>
        <w:rPr>
          <w:bCs/>
          <w:sz w:val="24"/>
          <w:szCs w:val="24"/>
        </w:rPr>
        <w:t xml:space="preserve">г.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br w:type="page" w:clear="all"/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История возникновения и сущность предпринимательства.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Изучение возможностей предприятия. Изучение потребителей и сегментация рынка.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</w:t>
      </w:r>
      <w:bookmarkStart w:id="1" w:name="__DdeLink__2160_3490708788"/>
      <w:r/>
      <w:bookmarkEnd w:id="1"/>
      <w:r>
        <w:rPr>
          <w:sz w:val="28"/>
          <w:szCs w:val="24"/>
          <w:lang w:eastAsia="ru-RU"/>
        </w:rPr>
        <w:t xml:space="preserve">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Понятие Бизнес - планирования. Основные разделы бизнес-плана.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Управление финансами на предприятии.</w:t>
      </w:r>
      <w:r/>
    </w:p>
    <w:p>
      <w:pPr>
        <w:pStyle w:val="621"/>
      </w:pPr>
      <w:r/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3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Производственное предпринимательство. Показатели деятельности предприятия.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Финансовый менеджмент.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4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Хозяйственные товарищества.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Сущность предпринимательского риска. Классификация предпринимательских рисков.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5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1. Государственные и муниципальные унитарные предприятия.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2. Принципы финансов предприятия. Финансовые отношения.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6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Понятие и формы предприятий. Классификация предприятий.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Финансовые ресурсы.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7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Характеристика разделов бизнес-плана: План маркетинга. План производства. Организационный план. Риски в деятельности фирмы. Финансовый план.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Основные принципы маркетинга.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8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Народные предприятия.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Факторы, влияющие на уровень предпринимательского риска: внешние и внутренние.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9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Понятие и основные функции предпринимательства.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Социально-экономическая сущность и содержание маркетинга.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10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Финансовое предпринимательство.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Сущность предпринимательской тайны.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11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Характеристика разделов бизнес-плана: Общая характеристика фирмы (резюме). Характеристика товаров (услуг). Рынок сбыта товаров (услуг). Конкуренция на рынке сбыта.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Финансовый механизм.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12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Управление предпринимательскими рисками.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Защита предпринимательской тайны.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13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Условия, необходимые для осуществления предпринимательской деятельности.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Себестоимость, цена. Способы формирования цены.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14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Понятие и особенности предпринимательства.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Механизм функционирования предприятий. Жизненный цикл предприятия.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15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Ассоциации и союзы предпринимательских организаций.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Производственный менеджмент. Инновационный менеджмент.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16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Консультативное предпринимательство.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Сущность, цели и задачи менеджмента.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17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Коммерческое предпринимательство.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Финансы предприятия: понятие и функции.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18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Хозяйственные общества.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Допустимый, критический и катастрофический риск. Виды потерь.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19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Производственные кооперативы.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Оперативный менеджмент.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20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1.Сфера принятия управленческих решений.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Структура персонала предпринимательской фирмы.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21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Внутренняя и внешняя среда предпринимательства. Базовые составляющие внутренней среды.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Сущность культуры предпринимательства.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22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Учредительные документы.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Условия возникновения гражданской ответственности предпринимателей. Способы обеспечения исполнения предпринимателями своих обязательств.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23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Факторы косвенного воздействия на принятие управленческих решений. Технология принятия предпринимательских решений.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Процесс управления персоналом в ПД.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24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Выбор сферы деятельности нового предприятия.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Сущность культуры предпринимательства. Корпоративная культура.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25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Виды и способы оплаты труда.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Возникновение и формирование культуры предпринимательской организации за рубежом.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26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Оформление документов для открытия расчетного счета в банке.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Виды налогов: НДС, акциз, налог на прибыль, налог на имущество предприятий, взнос.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27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Государственная регистрация предприятий.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Административная ответственность предпринимателей. Ответственность предпринимателей за нарушение законодательства.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28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Технико-экономическое обоснование создания нового предприятия.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Основные положения об оплате труда на предприятии предпринимательского типа.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29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Экономические методы принятия предпринимательских решений.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Предпринимательская этика и этикет.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30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Культура предпринимательских организаций.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Общая характеристика налоговой системы.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№ 31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Предпринимательская этика и этикет.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Фирменное наименование предприятия: особенности и назначение.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Билет  № 32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1. Лицензирование деятельности предприятий.</w:t>
      </w:r>
      <w:r/>
    </w:p>
    <w:p>
      <w:pPr>
        <w:pStyle w:val="621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</w:pPr>
      <w:r>
        <w:rPr>
          <w:sz w:val="28"/>
          <w:szCs w:val="24"/>
          <w:lang w:eastAsia="ru-RU"/>
        </w:rPr>
        <w:t xml:space="preserve">2. Сущность и виды ответственности предпринимателей.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>
        <w:rPr>
          <w:sz w:val="28"/>
          <w:szCs w:val="24"/>
          <w:lang w:eastAsia="ru-RU"/>
        </w:rPr>
        <w:t xml:space="preserve">Преподаватель _____________________________________Н.Б.Варзина</w:t>
      </w:r>
      <w:r/>
    </w:p>
    <w:p>
      <w:pPr>
        <w:pStyle w:val="621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</w:r>
      <w:r>
        <w:rPr>
          <w:sz w:val="28"/>
          <w:szCs w:val="24"/>
          <w:lang w:eastAsia="ru-RU"/>
        </w:rPr>
      </w:r>
    </w:p>
    <w:p>
      <w:pPr>
        <w:pStyle w:val="621"/>
        <w:jc w:val="center"/>
      </w:pPr>
      <w:r/>
      <w:r/>
    </w:p>
    <w:p>
      <w:pPr>
        <w:pStyle w:val="62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br w:type="page" w:clear="all"/>
      </w:r>
      <w:r>
        <w:rPr>
          <w:b/>
          <w:sz w:val="28"/>
          <w:szCs w:val="28"/>
        </w:rPr>
      </w:r>
    </w:p>
    <w:p>
      <w:pPr>
        <w:pStyle w:val="621"/>
        <w:ind w:left="28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проведения экзамена</w:t>
      </w:r>
      <w:r>
        <w:rPr>
          <w:b/>
          <w:sz w:val="28"/>
          <w:szCs w:val="28"/>
        </w:rPr>
      </w:r>
    </w:p>
    <w:p>
      <w:pPr>
        <w:pStyle w:val="6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Комплексный экзамен проводится в период экзаменационных сессий, установленных графиком учебного процесса. Экзамен проводится в специально подготовленных аудиториях. </w:t>
      </w:r>
      <w:r>
        <w:rPr>
          <w:sz w:val="28"/>
          <w:szCs w:val="28"/>
        </w:rPr>
      </w:r>
    </w:p>
    <w:p>
      <w:pPr>
        <w:pStyle w:val="6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билете экзамена содержатся три вопроса: два вопроса носят теоретический характер и отражают содержание дисциплины, выносимой на экзамен, третий вопрос – практического содержания (задача, ситуация). </w:t>
      </w:r>
      <w:r>
        <w:rPr>
          <w:sz w:val="28"/>
          <w:szCs w:val="28"/>
        </w:rPr>
      </w:r>
    </w:p>
    <w:p>
      <w:pPr>
        <w:pStyle w:val="6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 проводится в устной форме.</w:t>
      </w:r>
      <w:r>
        <w:rPr>
          <w:sz w:val="28"/>
          <w:szCs w:val="28"/>
        </w:rPr>
      </w:r>
    </w:p>
    <w:p>
      <w:pPr>
        <w:pStyle w:val="6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выполнен</w:t>
      </w:r>
      <w:r>
        <w:rPr>
          <w:sz w:val="28"/>
          <w:szCs w:val="28"/>
        </w:rPr>
        <w:t xml:space="preserve">ие задания по билету студенту отводится не более 1 академического часа. После ответа на вопрос экзаменационного билета экзаменуемому могут быть предложены дополнительные вопросы с целью конкретизации и углубления учебного материала, вынесенного на экзамен.</w:t>
      </w:r>
      <w:r>
        <w:rPr>
          <w:sz w:val="28"/>
          <w:szCs w:val="28"/>
        </w:rPr>
      </w:r>
    </w:p>
    <w:p>
      <w:pPr>
        <w:pStyle w:val="6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сдачу устного экзамена предусматривается не более одной трети академического часа на каждого студента.</w:t>
      </w:r>
      <w:r>
        <w:rPr>
          <w:sz w:val="28"/>
          <w:szCs w:val="28"/>
        </w:rPr>
      </w:r>
    </w:p>
    <w:p>
      <w:pPr>
        <w:pStyle w:val="6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экзамена допускается использование наглядных пособий, материалов справочного характера, нормативных документов и других материалов, перечень которых заранее регламентируется.</w:t>
      </w:r>
      <w:r>
        <w:rPr>
          <w:sz w:val="28"/>
          <w:szCs w:val="28"/>
        </w:rPr>
      </w:r>
    </w:p>
    <w:p>
      <w:pPr>
        <w:pStyle w:val="621"/>
        <w:jc w:val="both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caps/>
          <w:sz w:val="28"/>
          <w:szCs w:val="28"/>
          <w:highlight w:val="yellow"/>
        </w:rPr>
      </w:pPr>
      <w:r>
        <w:rPr>
          <w:b/>
          <w:caps/>
          <w:sz w:val="28"/>
          <w:szCs w:val="28"/>
          <w:highlight w:val="yellow"/>
        </w:rPr>
      </w:r>
      <w:r>
        <w:rPr>
          <w:b/>
          <w:caps/>
          <w:sz w:val="28"/>
          <w:szCs w:val="28"/>
          <w:highlight w:val="yellow"/>
        </w:rPr>
      </w:r>
    </w:p>
    <w:p>
      <w:pPr>
        <w:pStyle w:val="621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экзамена</w:t>
      </w:r>
      <w:r>
        <w:rPr>
          <w:b/>
          <w:caps/>
          <w:sz w:val="28"/>
          <w:szCs w:val="28"/>
        </w:rPr>
      </w:r>
    </w:p>
    <w:tbl>
      <w:tblPr>
        <w:tblW w:w="9570" w:type="dxa"/>
        <w:tblInd w:w="-108" w:type="dxa"/>
        <w:tblCellMar>
          <w:left w:w="10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74"/>
        <w:gridCol w:w="6495"/>
      </w:tblGrid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074" w:type="dxa"/>
            <w:textDirection w:val="lrTb"/>
            <w:noWrap w:val="false"/>
          </w:tcPr>
          <w:p>
            <w:pPr>
              <w:pStyle w:val="6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«отлично»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6495" w:type="dxa"/>
            <w:textDirection w:val="lrTb"/>
            <w:noWrap w:val="false"/>
          </w:tcPr>
          <w:p>
            <w:pPr>
              <w:pStyle w:val="6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ставится студенту, ответ которого содержит глубокое знание программного материала, а также свидетельствует о способности самостоятельно критически оценивать основные положения курса, увязывать теорию с практикой.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074" w:type="dxa"/>
            <w:textDirection w:val="lrTb"/>
            <w:noWrap w:val="false"/>
          </w:tcPr>
          <w:p>
            <w:pPr>
              <w:pStyle w:val="6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«хорошо»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6495" w:type="dxa"/>
            <w:textDirection w:val="lrTb"/>
            <w:noWrap w:val="false"/>
          </w:tcPr>
          <w:p>
            <w:pPr>
              <w:pStyle w:val="6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ставится студенту,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074" w:type="dxa"/>
            <w:textDirection w:val="lrTb"/>
            <w:noWrap w:val="false"/>
          </w:tcPr>
          <w:p>
            <w:pPr>
              <w:pStyle w:val="6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«удовлетворительно»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6495" w:type="dxa"/>
            <w:textDirection w:val="lrTb"/>
            <w:noWrap w:val="false"/>
          </w:tcPr>
          <w:p>
            <w:pPr>
              <w:pStyle w:val="6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ставится студенту, ответ которого содержит поверхностные знания важнейших разделов программы, затруднения с использованием научно-понятийного аппарата и терминологии курса.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3074" w:type="dxa"/>
            <w:textDirection w:val="lrTb"/>
            <w:noWrap w:val="false"/>
          </w:tcPr>
          <w:p>
            <w:pPr>
              <w:pStyle w:val="6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Оценки «неудовлетворительно»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6495" w:type="dxa"/>
            <w:textDirection w:val="lrTb"/>
            <w:noWrap w:val="false"/>
          </w:tcPr>
          <w:p>
            <w:pPr>
              <w:pStyle w:val="6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ставятся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материала.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2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both"/>
      </w:pPr>
      <w:r/>
      <w:r/>
    </w:p>
    <w:sectPr>
      <w:footnotePr/>
      <w:endnotePr/>
      <w:type w:val="nextPage"/>
      <w:pgSz w:w="11906" w:h="16838" w:orient="portrait"/>
      <w:pgMar w:top="1701" w:right="1134" w:bottom="851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Andale Sans UI;Times New Roman">
    <w:panose1 w:val="02000603000000000000"/>
  </w:font>
  <w:font w:name="Mangal">
    <w:panose1 w:val="02040503050306020203"/>
  </w:font>
  <w:font w:name="OpenSymbol">
    <w:panose1 w:val="05010000000000000000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3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3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3"/>
    <w:link w:val="622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3"/>
    <w:link w:val="642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3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3"/>
    <w:link w:val="647"/>
    <w:uiPriority w:val="99"/>
  </w:style>
  <w:style w:type="character" w:styleId="45">
    <w:name w:val="Footer Char"/>
    <w:basedOn w:val="623"/>
    <w:link w:val="648"/>
    <w:uiPriority w:val="99"/>
  </w:style>
  <w:style w:type="character" w:styleId="47">
    <w:name w:val="Caption Char"/>
    <w:basedOn w:val="643"/>
    <w:link w:val="648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5"/>
    <w:uiPriority w:val="99"/>
    <w:rPr>
      <w:sz w:val="18"/>
    </w:rPr>
  </w:style>
  <w:style w:type="character" w:styleId="177">
    <w:name w:val="footnote reference"/>
    <w:basedOn w:val="623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3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00000a"/>
      <w:sz w:val="20"/>
      <w:szCs w:val="20"/>
      <w:lang w:val="ru-RU" w:eastAsia="en-US" w:bidi="ar-SA"/>
    </w:rPr>
  </w:style>
  <w:style w:type="paragraph" w:styleId="622">
    <w:name w:val="Heading 4"/>
    <w:basedOn w:val="621"/>
    <w:next w:val="621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623" w:default="1">
    <w:name w:val="Default Paragraph Font"/>
    <w:uiPriority w:val="1"/>
    <w:semiHidden/>
    <w:unhideWhenUsed/>
    <w:qFormat/>
  </w:style>
  <w:style w:type="character" w:styleId="624" w:customStyle="1">
    <w:name w:val="Заголовок 4 Знак"/>
    <w:basedOn w:val="623"/>
    <w:link w:val="622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625" w:customStyle="1">
    <w:name w:val="Текст сноски Знак"/>
    <w:basedOn w:val="623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26" w:customStyle="1">
    <w:name w:val="Привязка сноски"/>
    <w:rPr>
      <w:rFonts w:cs="Times New Roman"/>
      <w:vertAlign w:val="superscript"/>
    </w:rPr>
  </w:style>
  <w:style w:type="character" w:styleId="627" w:customStyle="1">
    <w:name w:val="Footnote Characters"/>
    <w:basedOn w:val="623"/>
    <w:uiPriority w:val="99"/>
    <w:semiHidden/>
    <w:qFormat/>
    <w:rPr>
      <w:rFonts w:cs="Times New Roman"/>
      <w:vertAlign w:val="superscript"/>
    </w:rPr>
  </w:style>
  <w:style w:type="character" w:styleId="628" w:customStyle="1">
    <w:name w:val="Верхний колонтитул Знак"/>
    <w:basedOn w:val="623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629" w:customStyle="1">
    <w:name w:val="Нижний колонтитул Знак"/>
    <w:basedOn w:val="623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630" w:customStyle="1">
    <w:name w:val="Интернет-ссылка"/>
    <w:basedOn w:val="623"/>
    <w:uiPriority w:val="99"/>
    <w:unhideWhenUsed/>
    <w:rPr>
      <w:color w:val="0000ff" w:themeColor="hyperlink"/>
      <w:u w:val="single"/>
    </w:rPr>
  </w:style>
  <w:style w:type="character" w:styleId="631" w:customStyle="1">
    <w:name w:val="Маркеры списка"/>
    <w:qFormat/>
    <w:rPr>
      <w:rFonts w:ascii="OpenSymbol" w:hAnsi="OpenSymbol" w:eastAsia="OpenSymbol" w:cs="OpenSymbol"/>
    </w:rPr>
  </w:style>
  <w:style w:type="character" w:styleId="632" w:customStyle="1">
    <w:name w:val="Основной текст 2 Знак"/>
    <w:qFormat/>
    <w:rPr>
      <w:rFonts w:ascii="Times New Roman" w:hAnsi="Times New Roman" w:eastAsia="Times New Roman"/>
      <w:sz w:val="28"/>
      <w:lang w:eastAsia="ru-RU"/>
    </w:rPr>
  </w:style>
  <w:style w:type="character" w:styleId="633" w:customStyle="1">
    <w:name w:val="Основной текст Знак"/>
    <w:qFormat/>
    <w:rPr>
      <w:rFonts w:ascii="Times New Roman" w:hAnsi="Times New Roman" w:eastAsia="Times New Roman"/>
      <w:sz w:val="28"/>
      <w:lang w:eastAsia="ru-RU"/>
    </w:rPr>
  </w:style>
  <w:style w:type="character" w:styleId="634" w:customStyle="1">
    <w:name w:val="Заголовок Знак"/>
    <w:qFormat/>
    <w:rPr>
      <w:rFonts w:ascii="Times New Roman" w:hAnsi="Times New Roman" w:eastAsia="Times New Roman"/>
      <w:sz w:val="28"/>
      <w:lang w:eastAsia="ru-RU"/>
    </w:rPr>
  </w:style>
  <w:style w:type="character" w:styleId="635" w:customStyle="1">
    <w:name w:val="Символ нумерации"/>
    <w:qFormat/>
  </w:style>
  <w:style w:type="character" w:styleId="636" w:customStyle="1">
    <w:name w:val="Текст выноски Знак"/>
    <w:basedOn w:val="623"/>
    <w:uiPriority w:val="99"/>
    <w:semiHidden/>
    <w:qFormat/>
    <w:rPr>
      <w:rFonts w:ascii="Tahoma" w:hAnsi="Tahoma" w:eastAsia="Times New Roman" w:cs="Tahoma"/>
      <w:color w:val="00000a"/>
      <w:sz w:val="16"/>
      <w:szCs w:val="16"/>
    </w:rPr>
  </w:style>
  <w:style w:type="paragraph" w:styleId="637">
    <w:name w:val="Заголовок"/>
    <w:basedOn w:val="621"/>
    <w:next w:val="63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38">
    <w:name w:val="Body Text"/>
    <w:basedOn w:val="621"/>
    <w:pPr>
      <w:spacing w:before="0" w:after="140" w:line="276" w:lineRule="auto"/>
    </w:pPr>
  </w:style>
  <w:style w:type="paragraph" w:styleId="639">
    <w:name w:val="List"/>
    <w:basedOn w:val="621"/>
    <w:pPr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640">
    <w:name w:val="Caption"/>
    <w:basedOn w:val="621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41">
    <w:name w:val="Указатель"/>
    <w:basedOn w:val="621"/>
    <w:qFormat/>
    <w:pPr>
      <w:suppressLineNumbers/>
    </w:pPr>
    <w:rPr>
      <w:rFonts w:cs="Mangal"/>
    </w:rPr>
  </w:style>
  <w:style w:type="paragraph" w:styleId="642">
    <w:name w:val="Title"/>
    <w:basedOn w:val="621"/>
    <w:next w:val="63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43">
    <w:name w:val="Caption"/>
    <w:basedOn w:val="621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44">
    <w:name w:val="index heading"/>
    <w:basedOn w:val="621"/>
    <w:qFormat/>
    <w:pPr>
      <w:suppressLineNumbers/>
    </w:pPr>
    <w:rPr>
      <w:rFonts w:cs="Mangal"/>
    </w:rPr>
  </w:style>
  <w:style w:type="paragraph" w:styleId="645">
    <w:name w:val="footnote text"/>
    <w:basedOn w:val="621"/>
    <w:uiPriority w:val="99"/>
    <w:semiHidden/>
  </w:style>
  <w:style w:type="paragraph" w:styleId="646" w:customStyle="1">
    <w:name w:val="Верхний и нижний колонтитулы"/>
    <w:basedOn w:val="621"/>
    <w:qFormat/>
  </w:style>
  <w:style w:type="paragraph" w:styleId="647">
    <w:name w:val="Header"/>
    <w:basedOn w:val="621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48">
    <w:name w:val="Footer"/>
    <w:basedOn w:val="621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49">
    <w:name w:val="List Paragraph"/>
    <w:basedOn w:val="621"/>
    <w:uiPriority w:val="34"/>
    <w:qFormat/>
    <w:pPr>
      <w:contextualSpacing/>
      <w:ind w:left="720" w:firstLine="0"/>
      <w:spacing w:before="0" w:after="0"/>
    </w:pPr>
  </w:style>
  <w:style w:type="paragraph" w:styleId="650" w:customStyle="1">
    <w:name w:val="Default"/>
    <w:qFormat/>
    <w:pPr>
      <w:jc w:val="left"/>
      <w:spacing w:before="0" w:after="0"/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651" w:customStyle="1">
    <w:name w:val="Standard"/>
    <w:qFormat/>
    <w:pPr>
      <w:jc w:val="left"/>
      <w:spacing w:before="0" w:after="200" w:line="276" w:lineRule="auto"/>
      <w:widowControl w:val="off"/>
    </w:pPr>
    <w:rPr>
      <w:rFonts w:ascii="Times New Roman" w:hAnsi="Times New Roman" w:eastAsia="Andale Sans UI;Times New Roman" w:cs="Tahoma"/>
      <w:color w:val="00000a"/>
      <w:sz w:val="24"/>
      <w:szCs w:val="24"/>
      <w:lang w:val="ru-RU" w:eastAsia="en-US" w:bidi="ar-SA"/>
    </w:rPr>
  </w:style>
  <w:style w:type="paragraph" w:styleId="652">
    <w:name w:val="Body Text 2"/>
    <w:basedOn w:val="621"/>
    <w:qFormat/>
    <w:pPr>
      <w:jc w:val="both"/>
    </w:pPr>
    <w:rPr>
      <w:sz w:val="28"/>
      <w:lang w:eastAsia="ru-RU"/>
    </w:rPr>
  </w:style>
  <w:style w:type="paragraph" w:styleId="653">
    <w:name w:val="Balloon Text"/>
    <w:basedOn w:val="621"/>
    <w:uiPriority w:val="99"/>
    <w:semiHidden/>
    <w:unhideWhenUsed/>
    <w:qFormat/>
    <w:rPr>
      <w:rFonts w:ascii="Tahoma" w:hAnsi="Tahoma" w:cs="Tahoma"/>
      <w:sz w:val="16"/>
      <w:szCs w:val="16"/>
    </w:rPr>
  </w:style>
  <w:style w:type="numbering" w:styleId="654" w:default="1">
    <w:name w:val="No List"/>
    <w:uiPriority w:val="99"/>
    <w:semiHidden/>
    <w:unhideWhenUsed/>
    <w:qFormat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Table Grid"/>
    <w:basedOn w:val="65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dc:description/>
  <dc:language>ru-RU</dc:language>
  <cp:revision>17</cp:revision>
  <dcterms:created xsi:type="dcterms:W3CDTF">2013-06-03T16:57:00Z</dcterms:created>
  <dcterms:modified xsi:type="dcterms:W3CDTF">2025-01-27T07:40:05Z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