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emf" ContentType="image/x-emf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-567" w:firstLine="709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  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ДЕПАРТАМЕНТ ОБРАЗОВАНИЯ ВОЛОГОДСКОЙ ОБЛАСТИ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left="-567" w:firstLine="709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БПОУ ВО «ВОЛОГОДСКИЙ АГРАРНО-ЭКОНОМИЧЕСКИЙ КОЛЛЕДЖ»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5265"/>
        <w:gridCol w:w="4730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634" w:type="pct"/>
            <w:textDirection w:val="lrTb"/>
            <w:noWrap w:val="false"/>
          </w:tcPr>
          <w:p>
            <w:pPr>
              <w:jc w:val="both"/>
              <w:keepLines/>
              <w:keepNext/>
              <w:spacing w:before="200" w:after="0" w:line="240" w:lineRule="auto"/>
              <w:rPr>
                <w:rFonts w:ascii="Times New Roman" w:hAnsi="Times New Roman" w:eastAsia="Times New Roman" w:cs="Times New Roman"/>
                <w:bCs/>
                <w:i/>
                <w:iCs/>
                <w:color w:val="4f81bd"/>
                <w:sz w:val="28"/>
                <w:szCs w:val="28"/>
                <w:lang w:eastAsia="ru-RU"/>
              </w:rPr>
              <w:outlineLvl w:val="3"/>
            </w:pPr>
            <w:r>
              <w:rPr>
                <w:rFonts w:ascii="Times New Roman" w:hAnsi="Times New Roman" w:eastAsia="Times New Roman" w:cs="Times New Roman"/>
                <w:bCs/>
                <w:i/>
                <w:iCs/>
                <w:color w:val="4f81bd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i/>
                <w:iCs/>
                <w:color w:val="4f81bd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6" w:type="pc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                                                  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ФОНД</w:t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                              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ОЦЕНОЧНЫХ СРЕДСТВ</w:t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jc w:val="both"/>
        <w:keepNext/>
        <w:spacing w:before="120"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outlineLvl w:val="3"/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                         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ПО УЧЕБНОЙ ДИСЦИПЛИНЕ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u w:val="single"/>
          <w:vertAlign w:val="superscript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                                   </w:t>
      </w:r>
      <w:r>
        <w:rPr>
          <w:rFonts w:ascii="Times New Roman" w:hAnsi="Times New Roman" w:eastAsia="Times New Roman" w:cs="Times New Roman"/>
          <w:bCs/>
          <w:sz w:val="28"/>
          <w:szCs w:val="28"/>
          <w:u w:val="single"/>
          <w:lang w:eastAsia="ru-RU"/>
        </w:rPr>
        <w:t xml:space="preserve">ФИЗИЧЕСКАЯ КУЛЬТУРА</w:t>
      </w:r>
      <w:r>
        <w:rPr>
          <w:rFonts w:ascii="Times New Roman" w:hAnsi="Times New Roman" w:eastAsia="Times New Roman" w:cs="Times New Roman"/>
          <w:sz w:val="28"/>
          <w:szCs w:val="28"/>
          <w:u w:val="single"/>
          <w:vertAlign w:val="superscript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u w:val="single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eastAsia="Times New Roman" w:cs="Times New Roman"/>
          <w:sz w:val="28"/>
          <w:szCs w:val="28"/>
          <w:u w:val="single"/>
        </w:rPr>
        <w:t xml:space="preserve">38.02.01 Экономика и бухгалтерский учет </w:t>
      </w:r>
      <w:r>
        <w:rPr>
          <w:rFonts w:ascii="Times New Roman" w:hAnsi="Times New Roman" w:eastAsia="Times New Roman" w:cs="Times New Roman"/>
          <w:sz w:val="28"/>
          <w:szCs w:val="28"/>
          <w:u w:val="single"/>
        </w:rPr>
        <w:t xml:space="preserve">(по отраслям)</w:t>
      </w:r>
      <w:r>
        <w:rPr>
          <w:rFonts w:ascii="Times New Roman" w:hAnsi="Times New Roman" w:eastAsia="Times New Roman" w:cs="Times New Roman"/>
          <w:sz w:val="28"/>
          <w:szCs w:val="28"/>
          <w:u w:val="single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eastAsia="Times New Roman" w:cs="Times New Roman"/>
          <w:sz w:val="28"/>
          <w:szCs w:val="28"/>
          <w:vertAlign w:val="superscript"/>
        </w:rPr>
        <w:t xml:space="preserve">                                                         </w:t>
      </w:r>
      <w:r>
        <w:rPr>
          <w:rFonts w:ascii="Times New Roman" w:hAnsi="Times New Roman" w:eastAsia="Times New Roman" w:cs="Times New Roman"/>
          <w:sz w:val="28"/>
          <w:szCs w:val="28"/>
          <w:vertAlign w:val="superscript"/>
        </w:rPr>
        <w:t xml:space="preserve"> (код и наименование профессии (специальности)</w:t>
      </w:r>
      <w:r>
        <w:rPr>
          <w:rFonts w:ascii="Times New Roman" w:hAnsi="Times New Roman" w:eastAsia="Times New Roman" w:cs="Times New Roman"/>
          <w:sz w:val="28"/>
          <w:szCs w:val="28"/>
          <w:vertAlign w:val="superscript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u w:val="single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eastAsia="Times New Roman" w:cs="Times New Roman"/>
          <w:sz w:val="28"/>
          <w:szCs w:val="28"/>
          <w:u w:val="single"/>
        </w:rPr>
        <w:t xml:space="preserve">Бухгалтер, специалист по налогообложению</w:t>
      </w:r>
      <w:r>
        <w:rPr>
          <w:rFonts w:ascii="Times New Roman" w:hAnsi="Times New Roman" w:eastAsia="Times New Roman" w:cs="Times New Roman"/>
          <w:sz w:val="28"/>
          <w:szCs w:val="28"/>
          <w:u w:val="single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eastAsia="Times New Roman" w:cs="Times New Roman"/>
          <w:sz w:val="28"/>
          <w:szCs w:val="28"/>
          <w:vertAlign w:val="superscript"/>
        </w:rPr>
        <w:t xml:space="preserve">                                                                     </w:t>
      </w:r>
      <w:r>
        <w:rPr>
          <w:rFonts w:ascii="Times New Roman" w:hAnsi="Times New Roman" w:eastAsia="Times New Roman" w:cs="Times New Roman"/>
          <w:sz w:val="28"/>
          <w:szCs w:val="28"/>
          <w:vertAlign w:val="superscript"/>
        </w:rPr>
        <w:t xml:space="preserve">(квалификация выпускника)</w:t>
      </w:r>
      <w:r>
        <w:rPr>
          <w:rFonts w:ascii="Times New Roman" w:hAnsi="Times New Roman" w:eastAsia="Times New Roman" w:cs="Times New Roman"/>
          <w:sz w:val="28"/>
          <w:szCs w:val="28"/>
          <w:vertAlign w:val="superscript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                                          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Вологда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,2024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both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РАЗРАБОТЧИК: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Кузнецов Сергей Леонидович, руководитель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физического воспитания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БПОУ ВО «Вологодский аграрно-экономический колледж»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tbl>
      <w:tblPr>
        <w:tblW w:w="8028" w:type="dxa"/>
        <w:tblLook w:val="01E0" w:firstRow="1" w:lastRow="1" w:firstColumn="1" w:lastColumn="1" w:noHBand="0" w:noVBand="0"/>
      </w:tblPr>
      <w:tblGrid>
        <w:gridCol w:w="8028"/>
      </w:tblGrid>
      <w:tr>
        <w:tblPrEx/>
        <w:trPr/>
        <w:tc>
          <w:tcPr>
            <w:tcW w:w="802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      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  <w:p>
            <w:pPr>
              <w:jc w:val="both"/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РАССМОТРЕНО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  <w:p>
            <w:pPr>
              <w:jc w:val="both"/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на заседании методической комиссии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  <w:p>
            <w:pPr>
              <w:jc w:val="both"/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общеобразовательных и гуманитарных дисциплин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  <w:p>
            <w:pPr>
              <w:jc w:val="both"/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31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августа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20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24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г., протокол №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 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  <w:p>
            <w:pPr>
              <w:jc w:val="both"/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  <w:p>
            <w:pPr>
              <w:jc w:val="both"/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Председатель комиссии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  <w:p>
            <w:pPr>
              <w:jc w:val="both"/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              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647700" cy="685800"/>
                      <wp:effectExtent l="0" t="0" r="0" b="0"/>
                      <wp:docPr id="1" name="Рисунок 1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4" name="Рисунок 1"/>
                              <pic:cNvPicPr/>
                              <pic:nvPr/>
                            </pic:nvPicPr>
                            <pic:blipFill>
                              <a:blip r:embed="rId9"/>
                              <a:srcRect l="47116" t="85429" r="41989" b="0"/>
                              <a:stretch/>
                            </pic:blipFill>
                            <pic:spPr bwMode="auto">
                              <a:xfrm>
                                <a:off x="0" y="0"/>
                                <a:ext cx="647700" cy="6858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width:51.00pt;height:54.00pt;mso-wrap-distance-left:0.00pt;mso-wrap-distance-top:0.00pt;mso-wrap-distance-right:0.00pt;mso-wrap-distance-bottom:0.00pt;" stroked="false">
                      <v:path textboxrect="0,0,0,0"/>
                      <v:imagedata r:id="rId9" o:title="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          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  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И.С. Вязанкина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  <w:p>
            <w:pPr>
              <w:jc w:val="both"/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8"/>
                <w:szCs w:val="28"/>
                <w:vertAlign w:val="superscript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vertAlign w:val="superscript"/>
                <w:lang w:eastAsia="ru-RU"/>
              </w:rPr>
              <w:t xml:space="preserve">           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vertAlign w:val="superscript"/>
                <w:lang w:eastAsia="ru-RU"/>
              </w:rPr>
              <w:t xml:space="preserve"> (подпись)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vertAlign w:val="superscript"/>
                <w:lang w:eastAsia="ru-RU"/>
              </w:rPr>
            </w:r>
          </w:p>
          <w:p>
            <w:pPr>
              <w:jc w:val="both"/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  <w:p>
            <w:pPr>
              <w:jc w:val="both"/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  <w:p>
            <w:pPr>
              <w:jc w:val="both"/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</w:tr>
    </w:tbl>
    <w:p>
      <w:pPr>
        <w:ind w:firstLine="708"/>
        <w:jc w:val="both"/>
        <w:spacing w:after="0" w:line="240" w:lineRule="auto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                             Пояснительная записка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Фонд оценочных средств содержит контро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льно-оценочные средства, предназначенные для контроля и оценки образовательных достижений обучающихся по дисциплине Физическая культура по специальности 38.02.01 Экономика и бухгалтерский учет (по отраслям), поступивших на базе среднего общего образования.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 фонд оценочных средств включены контрольные материалы для проведения текущего контроля в форме  тестов, контрольных нормативов, промежуточной аттестации в форме дифференцированного зачета.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</w:r>
    </w:p>
    <w:p>
      <w:pPr>
        <w:ind w:firstLine="708"/>
        <w:jc w:val="both"/>
        <w:spacing w:after="0" w:line="240" w:lineRule="auto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br w:type="page" w:clear="all"/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Перечень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основных показателей оценки результатов, элементов практического опыта, знаний и умений, подлежащих текущему контролю и промежуточной аттестации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 результате освоения дисциплины обучающийся должен уметь:  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jc w:val="both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использовать физкультурно-оздоровительную деятельность для укрепления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jc w:val="both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здоровья, достижения жизненных и профессиональных целей;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jc w:val="both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знать: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jc w:val="both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о роли физической культуры в общекультурном, профессиональном и социальном развитии человека;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основы здорового образа жизни.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left="100"/>
        <w:jc w:val="both"/>
        <w:spacing w:after="0" w:line="240" w:lineRule="auto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Для паспорта ФОС учебной дисциплины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</w:p>
    <w:p>
      <w:pPr>
        <w:ind w:left="100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tbl>
      <w:tblPr>
        <w:tblW w:w="10206" w:type="dxa"/>
        <w:tblInd w:w="1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left w:w="0" w:type="dxa"/>
          <w:right w:w="0" w:type="dxa"/>
        </w:tblCellMar>
        <w:tblLook w:val="0020" w:firstRow="1" w:lastRow="0" w:firstColumn="0" w:lastColumn="0" w:noHBand="0" w:noVBand="0"/>
      </w:tblPr>
      <w:tblGrid>
        <w:gridCol w:w="1701"/>
        <w:gridCol w:w="4395"/>
        <w:gridCol w:w="4110"/>
      </w:tblGrid>
      <w:tr>
        <w:tblPrEx/>
        <w:trPr>
          <w:trHeight w:val="891"/>
        </w:trPr>
        <w:tc>
          <w:tcPr>
            <w:tcW w:w="1701" w:type="dxa"/>
            <w:textDirection w:val="lrTb"/>
            <w:noWrap w:val="false"/>
          </w:tcPr>
          <w:p>
            <w:pPr>
              <w:jc w:val="both"/>
              <w:keepLines/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  <w:suppressLineNumbers/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Код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jc w:val="both"/>
              <w:keepLines/>
              <w:keepNext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suppressLineNumbers/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формируемых общих (ОК) и профессиональных компетенций (ПК)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jc w:val="both"/>
              <w:keepLines/>
              <w:keepNext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suppressLineNumbers/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Наименование формируемых общих и профессиональных компетенций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  <w:p>
            <w:pPr>
              <w:jc w:val="both"/>
              <w:keepLines/>
              <w:keepNext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suppressLineNumbers/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Mar>
              <w:left w:w="144" w:type="dxa"/>
              <w:top w:w="72" w:type="dxa"/>
              <w:right w:w="144" w:type="dxa"/>
              <w:bottom w:w="72" w:type="dxa"/>
            </w:tcMar>
            <w:tcW w:w="4110" w:type="dxa"/>
            <w:textDirection w:val="lrTb"/>
            <w:noWrap w:val="false"/>
          </w:tcPr>
          <w:p>
            <w:pPr>
              <w:jc w:val="both"/>
              <w:keepLines/>
              <w:keepNext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suppressLineNumbers/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 Знания и умения в соответствии  с программой учебной дисциплины 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</w:tr>
      <w:tr>
        <w:tblPrEx/>
        <w:trPr>
          <w:trHeight w:val="251"/>
        </w:trPr>
        <w:tc>
          <w:tcPr>
            <w:tcW w:w="1701" w:type="dxa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ОК 8.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jc w:val="both"/>
              <w:keepLines/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Mar>
              <w:left w:w="144" w:type="dxa"/>
              <w:top w:w="72" w:type="dxa"/>
              <w:right w:w="144" w:type="dxa"/>
              <w:bottom w:w="72" w:type="dxa"/>
            </w:tcMar>
            <w:tcW w:w="4110" w:type="dxa"/>
            <w:textDirection w:val="lrTb"/>
            <w:noWrap w:val="false"/>
          </w:tcPr>
          <w:p>
            <w:pPr>
              <w:jc w:val="both"/>
              <w:keepLines/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уметь:  использовать физкультурно-оздоровительную деятельность для укрепления здоровья, достижения жизненных и профессиональных целей;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jc w:val="both"/>
              <w:keepLines/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знать: о роли физической культуры в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jc w:val="both"/>
              <w:keepLines/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общекультурном, профессиональном и социальном развитии человека;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jc w:val="both"/>
              <w:keepLines/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основы здорового образа жизни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</w:tbl>
    <w:p>
      <w:pPr>
        <w:contextualSpacing/>
        <w:jc w:val="both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caps/>
          <w:sz w:val="28"/>
          <w:szCs w:val="28"/>
        </w:rPr>
      </w:pPr>
      <w:r>
        <w:rPr>
          <w:rFonts w:ascii="Times New Roman" w:hAnsi="Times New Roman" w:eastAsia="Times New Roman" w:cs="Times New Roman"/>
          <w:caps/>
          <w:sz w:val="28"/>
          <w:szCs w:val="28"/>
        </w:rPr>
      </w:r>
      <w:r>
        <w:rPr>
          <w:rFonts w:ascii="Times New Roman" w:hAnsi="Times New Roman" w:eastAsia="Times New Roman" w:cs="Times New Roman"/>
          <w:caps/>
          <w:sz w:val="28"/>
          <w:szCs w:val="28"/>
        </w:rPr>
      </w:r>
    </w:p>
    <w:p>
      <w:pPr>
        <w:contextualSpacing/>
        <w:jc w:val="both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caps/>
          <w:sz w:val="28"/>
          <w:szCs w:val="28"/>
        </w:rPr>
      </w:pPr>
      <w:r>
        <w:rPr>
          <w:rFonts w:ascii="Times New Roman" w:hAnsi="Times New Roman" w:eastAsia="Times New Roman" w:cs="Times New Roman"/>
          <w:caps/>
          <w:sz w:val="28"/>
          <w:szCs w:val="28"/>
        </w:rPr>
      </w:r>
      <w:r>
        <w:rPr>
          <w:rFonts w:ascii="Times New Roman" w:hAnsi="Times New Roman" w:eastAsia="Times New Roman" w:cs="Times New Roman"/>
          <w:caps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Бухгалтер, специалист по налогообложению должен достигнуть следующие личностные результаты (в процессе реализации рабочей программы воспитания):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ЛР 9. Соблюдающий и пропагандирующий правила зд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contextualSpacing/>
        <w:jc w:val="both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caps/>
          <w:sz w:val="28"/>
          <w:szCs w:val="28"/>
        </w:rPr>
      </w:pPr>
      <w:r>
        <w:rPr>
          <w:rFonts w:ascii="Times New Roman" w:hAnsi="Times New Roman" w:eastAsia="Times New Roman" w:cs="Times New Roman"/>
          <w:caps/>
          <w:sz w:val="28"/>
          <w:szCs w:val="28"/>
        </w:rPr>
      </w:r>
      <w:r>
        <w:rPr>
          <w:rFonts w:ascii="Times New Roman" w:hAnsi="Times New Roman" w:eastAsia="Times New Roman" w:cs="Times New Roman"/>
          <w:caps/>
          <w:sz w:val="28"/>
          <w:szCs w:val="28"/>
        </w:rPr>
      </w:r>
    </w:p>
    <w:p>
      <w:pPr>
        <w:contextualSpacing/>
        <w:jc w:val="both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caps/>
          <w:sz w:val="28"/>
          <w:szCs w:val="28"/>
        </w:rPr>
      </w:pPr>
      <w:r>
        <w:rPr>
          <w:rFonts w:ascii="Times New Roman" w:hAnsi="Times New Roman" w:eastAsia="Times New Roman" w:cs="Times New Roman"/>
          <w:caps/>
          <w:sz w:val="28"/>
          <w:szCs w:val="28"/>
        </w:rPr>
      </w:r>
      <w:r>
        <w:rPr>
          <w:rFonts w:ascii="Times New Roman" w:hAnsi="Times New Roman" w:eastAsia="Times New Roman" w:cs="Times New Roman"/>
          <w:caps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Контрольно-оценочные материалы для текущего контроля по учебной дисциплине ФИЗИЧЕСКАЯ КУЛЬТУРА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Практические занятия по темам: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 Легкая атлетика.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1.Техника выполнения упражнений в беге, прыжках, метаниях.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tbl>
      <w:tblPr>
        <w:tblW w:w="103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2097"/>
        <w:gridCol w:w="2350"/>
        <w:gridCol w:w="2557"/>
        <w:gridCol w:w="3310"/>
      </w:tblGrid>
      <w:tr>
        <w:tblPrEx/>
        <w:trPr>
          <w:trHeight w:val="313"/>
        </w:trPr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097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 Выполнение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техники прыжка в длину «согнув ноги».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50" w:type="dxa"/>
            <w:textDirection w:val="lrTb"/>
            <w:noWrap w:val="false"/>
          </w:tcPr>
          <w:p>
            <w:pPr>
              <w:jc w:val="both"/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7" w:type="dxa"/>
            <w:textDirection w:val="lrTb"/>
            <w:noWrap w:val="false"/>
          </w:tcPr>
          <w:p>
            <w:pPr>
              <w:jc w:val="both"/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10" w:type="dxa"/>
            <w:textDirection w:val="lrTb"/>
            <w:noWrap w:val="false"/>
          </w:tcPr>
          <w:p>
            <w:pPr>
              <w:jc w:val="both"/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   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</w:tr>
      <w:tr>
        <w:tblPrEx/>
        <w:trPr>
          <w:trHeight w:val="1304"/>
        </w:trPr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jc w:val="both"/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 правильная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  <w:p>
            <w:pPr>
              <w:jc w:val="both"/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техника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  <w:p>
            <w:pPr>
              <w:jc w:val="both"/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jc w:val="both"/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незначительные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  <w:p>
            <w:pPr>
              <w:jc w:val="both"/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ошибки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10" w:type="dxa"/>
            <w:textDirection w:val="lrTb"/>
            <w:noWrap w:val="false"/>
          </w:tcPr>
          <w:p>
            <w:pPr>
              <w:jc w:val="both"/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ошибки, нарушение координации движений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</w:tr>
    </w:tbl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2. Выполнение учебных нормативов.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Пример: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tbl>
      <w:tblPr>
        <w:tblW w:w="103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2802"/>
        <w:gridCol w:w="2409"/>
        <w:gridCol w:w="2694"/>
        <w:gridCol w:w="2409"/>
      </w:tblGrid>
      <w:tr>
        <w:tblPrEx/>
        <w:trPr>
          <w:trHeight w:val="35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2" w:type="dxa"/>
            <w:vMerge w:val="restart"/>
            <w:textDirection w:val="lrTb"/>
            <w:noWrap w:val="false"/>
          </w:tcPr>
          <w:p>
            <w:pPr>
              <w:jc w:val="both"/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  <w:p>
            <w:pPr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Метание гранаты, м.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  <w:p>
            <w:pPr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девушки 500гр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  <w:p>
            <w:pPr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юноши 700гр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9" w:type="dxa"/>
            <w:textDirection w:val="lrTb"/>
            <w:noWrap w:val="false"/>
          </w:tcPr>
          <w:p>
            <w:pPr>
              <w:jc w:val="both"/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4" w:type="dxa"/>
            <w:textDirection w:val="lrTb"/>
            <w:noWrap w:val="false"/>
          </w:tcPr>
          <w:p>
            <w:pPr>
              <w:jc w:val="both"/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9" w:type="dxa"/>
            <w:textDirection w:val="lrTb"/>
            <w:noWrap w:val="false"/>
          </w:tcPr>
          <w:p>
            <w:pPr>
              <w:jc w:val="both"/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</w:tr>
      <w:tr>
        <w:tblPrEx/>
        <w:trPr>
          <w:trHeight w:val="126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9" w:type="dxa"/>
            <w:textDirection w:val="lrTb"/>
            <w:noWrap w:val="false"/>
          </w:tcPr>
          <w:p>
            <w:pPr>
              <w:ind w:firstLine="709"/>
              <w:jc w:val="both"/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  <w:p>
            <w:pPr>
              <w:jc w:val="center"/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22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  <w:p>
            <w:pPr>
              <w:jc w:val="center"/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42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4" w:type="dxa"/>
            <w:textDirection w:val="lrTb"/>
            <w:noWrap w:val="false"/>
          </w:tcPr>
          <w:p>
            <w:pPr>
              <w:ind w:firstLine="709"/>
              <w:jc w:val="both"/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  <w:p>
            <w:pPr>
              <w:ind w:firstLine="709"/>
              <w:jc w:val="center"/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18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  <w:p>
            <w:pPr>
              <w:ind w:firstLine="709"/>
              <w:jc w:val="center"/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38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9" w:type="dxa"/>
            <w:textDirection w:val="lrTb"/>
            <w:noWrap w:val="false"/>
          </w:tcPr>
          <w:p>
            <w:pPr>
              <w:ind w:firstLine="709"/>
              <w:jc w:val="both"/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  <w:p>
            <w:pPr>
              <w:ind w:firstLine="709"/>
              <w:jc w:val="center"/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  <w:p>
            <w:pPr>
              <w:ind w:firstLine="709"/>
              <w:jc w:val="center"/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30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</w:tr>
    </w:tbl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  <w:suppressLineNumbers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Спортивные игры. Волейбол.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150" w:line="240" w:lineRule="auto"/>
        <w:shd w:val="clear" w:color="auto" w:fill="ffff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Контроль техники владения элементами волейбола.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150" w:line="240" w:lineRule="auto"/>
        <w:shd w:val="clear" w:color="auto" w:fill="ffff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Пример: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tbl>
      <w:tblPr>
        <w:tblW w:w="103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2802"/>
        <w:gridCol w:w="2409"/>
        <w:gridCol w:w="2694"/>
        <w:gridCol w:w="2409"/>
      </w:tblGrid>
      <w:tr>
        <w:tblPrEx/>
        <w:trPr>
          <w:trHeight w:val="35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2" w:type="dxa"/>
            <w:vMerge w:val="restart"/>
            <w:textDirection w:val="lrTb"/>
            <w:noWrap w:val="false"/>
          </w:tcPr>
          <w:p>
            <w:pPr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 Передача мяча через сетку в паре.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9" w:type="dxa"/>
            <w:textDirection w:val="lrTb"/>
            <w:noWrap w:val="false"/>
          </w:tcPr>
          <w:p>
            <w:pPr>
              <w:jc w:val="both"/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4" w:type="dxa"/>
            <w:textDirection w:val="lrTb"/>
            <w:noWrap w:val="false"/>
          </w:tcPr>
          <w:p>
            <w:pPr>
              <w:jc w:val="both"/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9" w:type="dxa"/>
            <w:textDirection w:val="lrTb"/>
            <w:noWrap w:val="false"/>
          </w:tcPr>
          <w:p>
            <w:pPr>
              <w:jc w:val="both"/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</w:tr>
      <w:tr>
        <w:tblPrEx/>
        <w:trPr>
          <w:trHeight w:val="126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9" w:type="dxa"/>
            <w:textDirection w:val="lrTb"/>
            <w:noWrap w:val="false"/>
          </w:tcPr>
          <w:p>
            <w:pPr>
              <w:jc w:val="both"/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20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  <w:p>
            <w:pPr>
              <w:jc w:val="both"/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 правильная техника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  <w:p>
            <w:pPr>
              <w:jc w:val="both"/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передачи мяча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  <w:p>
            <w:pPr>
              <w:jc w:val="both"/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4" w:type="dxa"/>
            <w:textDirection w:val="lrTb"/>
            <w:noWrap w:val="false"/>
          </w:tcPr>
          <w:p>
            <w:pPr>
              <w:jc w:val="both"/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              16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  <w:p>
            <w:pPr>
              <w:jc w:val="both"/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незначительные ошибки в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  <w:p>
            <w:pPr>
              <w:jc w:val="both"/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технике передачи мяча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  <w:p>
            <w:pPr>
              <w:jc w:val="both"/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9" w:type="dxa"/>
            <w:textDirection w:val="lrTb"/>
            <w:noWrap w:val="false"/>
          </w:tcPr>
          <w:p>
            <w:pPr>
              <w:jc w:val="both"/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менее 10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  <w:p>
            <w:pPr>
              <w:jc w:val="both"/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незначительные ошибки в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  <w:p>
            <w:pPr>
              <w:jc w:val="both"/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технике передачи мяча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</w:tr>
    </w:tbl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suppressLineNumbers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Спортивные игры. Баскетбол.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both"/>
        <w:spacing w:after="150" w:line="240" w:lineRule="auto"/>
        <w:shd w:val="clear" w:color="auto" w:fill="ffff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Контроль техники владения элементами баскетбола.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150" w:line="240" w:lineRule="auto"/>
        <w:shd w:val="clear" w:color="auto" w:fill="ffff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Пример: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tbl>
      <w:tblPr>
        <w:tblW w:w="103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2802"/>
        <w:gridCol w:w="2409"/>
        <w:gridCol w:w="2694"/>
        <w:gridCol w:w="2409"/>
      </w:tblGrid>
      <w:tr>
        <w:tblPrEx/>
        <w:trPr>
          <w:trHeight w:val="35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2" w:type="dxa"/>
            <w:vMerge w:val="restart"/>
            <w:textDirection w:val="lrTb"/>
            <w:noWrap w:val="false"/>
          </w:tcPr>
          <w:p>
            <w:pPr>
              <w:jc w:val="both"/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Комбинация ведение, 2 шага бросок в кольцо(6 попыток 3справа, 3слева)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9" w:type="dxa"/>
            <w:textDirection w:val="lrTb"/>
            <w:noWrap w:val="false"/>
          </w:tcPr>
          <w:p>
            <w:pPr>
              <w:jc w:val="both"/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4" w:type="dxa"/>
            <w:textDirection w:val="lrTb"/>
            <w:noWrap w:val="false"/>
          </w:tcPr>
          <w:p>
            <w:pPr>
              <w:jc w:val="both"/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9" w:type="dxa"/>
            <w:textDirection w:val="lrTb"/>
            <w:noWrap w:val="false"/>
          </w:tcPr>
          <w:p>
            <w:pPr>
              <w:jc w:val="both"/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</w:tr>
      <w:tr>
        <w:tblPrEx/>
        <w:trPr>
          <w:trHeight w:val="126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9" w:type="dxa"/>
            <w:textDirection w:val="lrTb"/>
            <w:noWrap w:val="false"/>
          </w:tcPr>
          <w:p>
            <w:pPr>
              <w:jc w:val="both"/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3 попадания,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  <w:p>
            <w:pPr>
              <w:jc w:val="both"/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правильная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  <w:p>
            <w:pPr>
              <w:jc w:val="both"/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техника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  <w:p>
            <w:pPr>
              <w:jc w:val="both"/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4" w:type="dxa"/>
            <w:textDirection w:val="lrTb"/>
            <w:noWrap w:val="false"/>
          </w:tcPr>
          <w:p>
            <w:pPr>
              <w:jc w:val="both"/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2 попадания, незначительные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  <w:p>
            <w:pPr>
              <w:jc w:val="both"/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ошибки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9" w:type="dxa"/>
            <w:textDirection w:val="lrTb"/>
            <w:noWrap w:val="false"/>
          </w:tcPr>
          <w:p>
            <w:pPr>
              <w:jc w:val="both"/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менее 2 попаданий, незначительные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  <w:p>
            <w:pPr>
              <w:jc w:val="both"/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ошибки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</w:tr>
    </w:tbl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suppressLineNumbers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both"/>
        <w:keepNext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  <w:suppressLineNumbers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Лыжная подготовка.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150" w:line="240" w:lineRule="auto"/>
        <w:shd w:val="clear" w:color="auto" w:fill="ffff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Контроль техники владения способами передвижения на лыжах.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150" w:line="240" w:lineRule="auto"/>
        <w:shd w:val="clear" w:color="auto" w:fill="ffff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Пример: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numPr>
          <w:ilvl w:val="0"/>
          <w:numId w:val="11"/>
        </w:numPr>
        <w:contextualSpacing/>
        <w:jc w:val="both"/>
        <w:spacing w:after="150" w:line="240" w:lineRule="auto"/>
        <w:shd w:val="clear" w:color="auto" w:fill="ffffff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Оценка техники выполнения классических лыжных ходов.</w:t>
      </w:r>
      <w:r>
        <w:rPr>
          <w:rFonts w:ascii="Times New Roman" w:hAnsi="Times New Roman" w:eastAsia="Calibri" w:cs="Times New Roman"/>
          <w:sz w:val="28"/>
          <w:szCs w:val="28"/>
        </w:rPr>
      </w:r>
    </w:p>
    <w:tbl>
      <w:tblPr>
        <w:tblW w:w="103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2802"/>
        <w:gridCol w:w="2409"/>
        <w:gridCol w:w="2694"/>
        <w:gridCol w:w="2409"/>
      </w:tblGrid>
      <w:tr>
        <w:tblPrEx/>
        <w:trPr>
          <w:trHeight w:val="31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2" w:type="dxa"/>
            <w:vMerge w:val="restart"/>
            <w:textDirection w:val="lrTb"/>
            <w:noWrap w:val="false"/>
          </w:tcPr>
          <w:p>
            <w:pPr>
              <w:jc w:val="both"/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Передвижение 20 метров попеременным двухшажным ходом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9" w:type="dxa"/>
            <w:textDirection w:val="lrTb"/>
            <w:noWrap w:val="false"/>
          </w:tcPr>
          <w:p>
            <w:pPr>
              <w:jc w:val="both"/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4" w:type="dxa"/>
            <w:textDirection w:val="lrTb"/>
            <w:noWrap w:val="false"/>
          </w:tcPr>
          <w:p>
            <w:pPr>
              <w:jc w:val="both"/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9" w:type="dxa"/>
            <w:textDirection w:val="lrTb"/>
            <w:noWrap w:val="false"/>
          </w:tcPr>
          <w:p>
            <w:pPr>
              <w:jc w:val="both"/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   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</w:tr>
      <w:tr>
        <w:tblPrEx/>
        <w:trPr>
          <w:trHeight w:val="130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9" w:type="dxa"/>
            <w:textDirection w:val="lrTb"/>
            <w:noWrap w:val="false"/>
          </w:tcPr>
          <w:p>
            <w:pPr>
              <w:jc w:val="both"/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 правильная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  <w:p>
            <w:pPr>
              <w:jc w:val="both"/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техника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  <w:p>
            <w:pPr>
              <w:jc w:val="both"/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4" w:type="dxa"/>
            <w:textDirection w:val="lrTb"/>
            <w:noWrap w:val="false"/>
          </w:tcPr>
          <w:p>
            <w:pPr>
              <w:jc w:val="both"/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незначительные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  <w:p>
            <w:pPr>
              <w:jc w:val="both"/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ошибки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9" w:type="dxa"/>
            <w:textDirection w:val="lrTb"/>
            <w:noWrap w:val="false"/>
          </w:tcPr>
          <w:p>
            <w:pPr>
              <w:jc w:val="both"/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ошибки, нарушение координации движений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</w:tr>
    </w:tbl>
    <w:p>
      <w:pPr>
        <w:ind w:firstLine="709"/>
        <w:jc w:val="both"/>
        <w:keepNext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suppressLineNumbers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ind w:firstLine="709"/>
        <w:jc w:val="both"/>
        <w:keepNext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suppressLineNumbers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Контрольные задания для оценки физической подготовленности обучающихся специальной медицинской группы: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ind w:firstLine="709"/>
        <w:jc w:val="both"/>
        <w:keepNext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  <w:suppressLineNumbers/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1. Бег 100 м (юноши, девушки) - без учета времени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keepNext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  <w:suppressLineNumbers/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2. Бег 2000 (девушки), 3000 (юноши) – без учета времени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keepNext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  <w:suppressLineNumbers/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3. Прыжки в длину с места ( юноши, девушки) (техника)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keepNext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  <w:suppressLineNumbers/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4. Прыжки со скакалкой (девушки) (техника)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keepNext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  <w:suppressLineNumbers/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5. Поднимание туловища из положения лежа на спине (девушки) (техника)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keepNext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  <w:suppressLineNumbers/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6. Подтягивание на перекладине (юноши) (техника)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keepNext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  <w:suppressLineNumbers/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7. Сгибание и разгибание рук, в упоре лежа ( юноши) (техника)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keepNext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  <w:suppressLineNumbers/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8. Подача, прием и передача волейбольного мяча ( юноши, девушки )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keepNext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  <w:suppressLineNumbers/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9. Бег на лыжах без учета времени (3000 - юноши, 2000 - девушки)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keepNext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  <w:suppressLineNumbers/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keepNext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suppressLineNumbers/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    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Обучающиеся специальной медицинской группы выполняют те разделы программы,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both"/>
        <w:keepNext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suppressLineNumbers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контрольные задания, которые доступны им по состоянию здоровья.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ind w:firstLine="709"/>
        <w:jc w:val="both"/>
        <w:keepNext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  <w:suppressLineNumbers/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right="29" w:firstLine="700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spacing w:val="-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pacing w:val="-1"/>
          <w:sz w:val="28"/>
          <w:szCs w:val="28"/>
          <w:lang w:eastAsia="ru-RU"/>
        </w:rPr>
        <w:t xml:space="preserve">Критерием освоения обучающимися учебного материала является оц</w:t>
      </w:r>
      <w:r>
        <w:rPr>
          <w:rFonts w:ascii="Times New Roman" w:hAnsi="Times New Roman" w:eastAsia="Times New Roman" w:cs="Times New Roman"/>
          <w:spacing w:val="-1"/>
          <w:sz w:val="28"/>
          <w:szCs w:val="28"/>
          <w:lang w:eastAsia="ru-RU"/>
        </w:rPr>
        <w:t xml:space="preserve">енка регулярности посещения обязательных учебных занятий и результатов выполнения контрольных заданий в виде тестов и упражнений. Зачет  за семестр по предмету «Физическая культура» выставляется по данным, текущего контроля  по основным разделам программы.</w:t>
      </w:r>
      <w:r>
        <w:rPr>
          <w:rFonts w:ascii="Times New Roman" w:hAnsi="Times New Roman" w:eastAsia="Times New Roman" w:cs="Times New Roman"/>
          <w:spacing w:val="-1"/>
          <w:sz w:val="28"/>
          <w:szCs w:val="28"/>
          <w:lang w:eastAsia="ru-RU"/>
        </w:rPr>
      </w:r>
    </w:p>
    <w:p>
      <w:pPr>
        <w:ind w:right="29" w:firstLine="700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spacing w:val="-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pacing w:val="-1"/>
          <w:sz w:val="28"/>
          <w:szCs w:val="28"/>
          <w:lang w:eastAsia="ru-RU"/>
        </w:rPr>
        <w:t xml:space="preserve">При выставлении зачета   принимается во внимание степень усвоения теоретических знаний и результаты выполнения контрольных нормативов, предусмотренных учебной программой, упражнений и тестов, определяющих уровень физической подготовленности обучающихся.</w:t>
      </w:r>
      <w:r>
        <w:rPr>
          <w:rFonts w:ascii="Times New Roman" w:hAnsi="Times New Roman" w:eastAsia="Times New Roman" w:cs="Times New Roman"/>
          <w:spacing w:val="-1"/>
          <w:sz w:val="28"/>
          <w:szCs w:val="28"/>
          <w:lang w:eastAsia="ru-RU"/>
        </w:rPr>
      </w:r>
    </w:p>
    <w:p>
      <w:pPr>
        <w:ind w:right="29" w:firstLine="700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spacing w:val="-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pacing w:val="-1"/>
          <w:sz w:val="28"/>
          <w:szCs w:val="28"/>
          <w:lang w:eastAsia="ru-RU"/>
        </w:rPr>
        <w:t xml:space="preserve">Контрольные занятия обеспечивают оперативную, текущую   информацию о степени усвоения   знаний  и умений, о состоянии и динамике физического развития, о физической профес</w:t>
      </w:r>
      <w:r>
        <w:rPr>
          <w:rFonts w:ascii="Times New Roman" w:hAnsi="Times New Roman" w:eastAsia="Times New Roman" w:cs="Times New Roman"/>
          <w:spacing w:val="-1"/>
          <w:sz w:val="28"/>
          <w:szCs w:val="28"/>
          <w:lang w:eastAsia="ru-RU"/>
        </w:rPr>
        <w:t xml:space="preserve">сионально-прикладной подготовленности каждого обучающегося.</w:t>
      </w:r>
      <w:r>
        <w:rPr>
          <w:rFonts w:ascii="Times New Roman" w:hAnsi="Times New Roman" w:eastAsia="Times New Roman" w:cs="Times New Roman"/>
          <w:spacing w:val="-1"/>
          <w:sz w:val="28"/>
          <w:szCs w:val="28"/>
          <w:lang w:eastAsia="ru-RU"/>
        </w:rPr>
      </w:r>
    </w:p>
    <w:p>
      <w:pPr>
        <w:ind w:right="29" w:firstLine="700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spacing w:val="-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pacing w:val="-1"/>
          <w:sz w:val="28"/>
          <w:szCs w:val="28"/>
          <w:lang w:eastAsia="ru-RU"/>
        </w:rPr>
        <w:t xml:space="preserve">Преподаватель имеет право дифференцировать учебный норматив в зависимости от индивидуальных особенностей конкретного обучающегося, а также учитывать его отношение к учебе.</w:t>
      </w:r>
      <w:r>
        <w:rPr>
          <w:rFonts w:ascii="Times New Roman" w:hAnsi="Times New Roman" w:eastAsia="Times New Roman" w:cs="Times New Roman"/>
          <w:spacing w:val="-1"/>
          <w:sz w:val="28"/>
          <w:szCs w:val="28"/>
          <w:lang w:eastAsia="ru-RU"/>
        </w:rPr>
      </w:r>
    </w:p>
    <w:p>
      <w:pPr>
        <w:ind w:right="29" w:firstLine="700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spacing w:val="-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pacing w:val="-1"/>
          <w:sz w:val="28"/>
          <w:szCs w:val="28"/>
          <w:lang w:eastAsia="ru-RU"/>
        </w:rPr>
        <w:t xml:space="preserve">К выполнению контрольных упражнений и нормативов допускаются обучающиеся, регулярно посещавшие учебные занятия и получившие необходимую физическую подготовку. Контрольные упражнения и нормативы выполняются в условиях соревнований.</w:t>
      </w:r>
      <w:r>
        <w:rPr>
          <w:rFonts w:ascii="Times New Roman" w:hAnsi="Times New Roman" w:eastAsia="Times New Roman" w:cs="Times New Roman"/>
          <w:spacing w:val="-1"/>
          <w:sz w:val="28"/>
          <w:szCs w:val="28"/>
          <w:lang w:eastAsia="ru-RU"/>
        </w:rPr>
      </w:r>
    </w:p>
    <w:p>
      <w:pPr>
        <w:ind w:right="29" w:firstLine="700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spacing w:val="-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pacing w:val="-1"/>
          <w:sz w:val="28"/>
          <w:szCs w:val="28"/>
          <w:lang w:eastAsia="ru-RU"/>
        </w:rPr>
        <w:t xml:space="preserve">Обучающиеся, в случа</w:t>
      </w:r>
      <w:r>
        <w:rPr>
          <w:rFonts w:ascii="Times New Roman" w:hAnsi="Times New Roman" w:eastAsia="Times New Roman" w:cs="Times New Roman"/>
          <w:spacing w:val="-1"/>
          <w:sz w:val="28"/>
          <w:szCs w:val="28"/>
          <w:lang w:eastAsia="ru-RU"/>
        </w:rPr>
        <w:t xml:space="preserve">е невыполнения ими по объективным причинам определенных контрольных упражнений и нормативов в установленные сроки, по решению руководителя физического воспитания и заключению врача, могут быть положительно аттестованы при условии регулярного посещения ими </w:t>
      </w:r>
      <w:r>
        <w:rPr>
          <w:rFonts w:ascii="Times New Roman" w:hAnsi="Times New Roman" w:eastAsia="Times New Roman" w:cs="Times New Roman"/>
          <w:spacing w:val="-1"/>
          <w:sz w:val="28"/>
          <w:szCs w:val="28"/>
          <w:lang w:eastAsia="ru-RU"/>
        </w:rPr>
        <w:t xml:space="preserve">учебных заняти</w:t>
      </w:r>
      <w:r>
        <w:rPr>
          <w:rFonts w:ascii="Times New Roman" w:hAnsi="Times New Roman" w:eastAsia="Times New Roman" w:cs="Times New Roman"/>
          <w:spacing w:val="-1"/>
          <w:sz w:val="28"/>
          <w:szCs w:val="28"/>
          <w:lang w:eastAsia="ru-RU"/>
        </w:rPr>
        <w:t xml:space="preserve">й или в случае, если обучающийся, имеющий основную медицинскую группу, по объективными причинам не может вместе со всеми сдать один из учебных нормативов программы, разрешается временно ему выставить зачет и оценку за технику выполнения данного упражнения.</w:t>
      </w:r>
      <w:r>
        <w:rPr>
          <w:rFonts w:ascii="Times New Roman" w:hAnsi="Times New Roman" w:eastAsia="Times New Roman" w:cs="Times New Roman"/>
          <w:spacing w:val="-1"/>
          <w:sz w:val="28"/>
          <w:szCs w:val="28"/>
          <w:lang w:eastAsia="ru-RU"/>
        </w:rPr>
      </w:r>
    </w:p>
    <w:p>
      <w:pPr>
        <w:ind w:right="29" w:firstLine="700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spacing w:val="-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pacing w:val="-1"/>
          <w:sz w:val="28"/>
          <w:szCs w:val="28"/>
          <w:lang w:eastAsia="ru-RU"/>
        </w:rPr>
        <w:t xml:space="preserve">Оценка успеваемости обучающихся, отнесенных по состоянию здоровья к подготовительной ме</w:t>
      </w:r>
      <w:r>
        <w:rPr>
          <w:rFonts w:ascii="Times New Roman" w:hAnsi="Times New Roman" w:eastAsia="Times New Roman" w:cs="Times New Roman"/>
          <w:spacing w:val="-1"/>
          <w:sz w:val="28"/>
          <w:szCs w:val="28"/>
          <w:lang w:eastAsia="ru-RU"/>
        </w:rPr>
        <w:t xml:space="preserve">дицинской группе, выводится на общих основаниях, за исключением тех упражнений, которые им противопоказаны. Обучающиеся, отнесенные по состоянию здоровья к специальной медицинской группе, выполняют требования, разработанные для данной медицинской группы.  </w:t>
      </w:r>
      <w:r>
        <w:rPr>
          <w:rFonts w:ascii="Times New Roman" w:hAnsi="Times New Roman" w:eastAsia="Times New Roman" w:cs="Times New Roman"/>
          <w:spacing w:val="-1"/>
          <w:sz w:val="28"/>
          <w:szCs w:val="28"/>
          <w:lang w:eastAsia="ru-RU"/>
        </w:rPr>
      </w:r>
    </w:p>
    <w:p>
      <w:pPr>
        <w:ind w:firstLine="709"/>
        <w:jc w:val="both"/>
        <w:keepNext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  <w:suppressLineNumbers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keepNext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  <w:suppressLineNumbers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keepNext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  <w:suppressLineNumbers/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contextualSpacing/>
        <w:jc w:val="both"/>
        <w:spacing w:after="0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Arial Unicode MS" w:cs="Times New Roman"/>
          <w:b/>
          <w:sz w:val="28"/>
          <w:szCs w:val="28"/>
          <w:lang w:eastAsia="ru-RU"/>
        </w:rPr>
        <w:sectPr>
          <w:footnotePr/>
          <w:endnotePr/>
          <w:type w:val="nextPage"/>
          <w:pgSz w:w="11906" w:h="16838" w:orient="portrait"/>
          <w:pgMar w:top="851" w:right="851" w:bottom="567" w:left="1276" w:header="0" w:footer="0" w:gutter="0"/>
          <w:cols w:num="1" w:sep="0" w:space="720" w:equalWidth="1"/>
          <w:docGrid w:linePitch="360"/>
        </w:sectPr>
      </w:pPr>
      <w:r>
        <w:rPr>
          <w:rFonts w:ascii="Times New Roman" w:hAnsi="Times New Roman" w:eastAsia="Arial Unicode MS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Arial Unicode MS" w:cs="Times New Roman"/>
          <w:b/>
          <w:sz w:val="28"/>
          <w:szCs w:val="28"/>
          <w:lang w:eastAsia="ru-RU"/>
        </w:rPr>
      </w:r>
    </w:p>
    <w:p>
      <w:pPr>
        <w:contextualSpacing/>
        <w:jc w:val="both"/>
        <w:spacing w:after="0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after="0" w:line="240" w:lineRule="auto"/>
        <w:rPr>
          <w:rFonts w:ascii="Times New Roman" w:hAnsi="Times New Roman" w:eastAsia="Arial Unicode MS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b/>
          <w:sz w:val="28"/>
          <w:szCs w:val="28"/>
          <w:lang w:eastAsia="ru-RU"/>
        </w:rPr>
        <w:t xml:space="preserve">Задания для дифференцированного зачета по дисциплине «Физическая культура»</w:t>
      </w:r>
      <w:r>
        <w:rPr>
          <w:rFonts w:ascii="Times New Roman" w:hAnsi="Times New Roman" w:eastAsia="Arial Unicode MS" w:cs="Times New Roman"/>
          <w:b/>
          <w:sz w:val="28"/>
          <w:szCs w:val="28"/>
          <w:lang w:eastAsia="ru-RU"/>
        </w:rPr>
      </w:r>
    </w:p>
    <w:p>
      <w:pPr>
        <w:contextualSpacing/>
        <w:jc w:val="both"/>
        <w:spacing w:after="0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after="0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Теоретические вопросы: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after="0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Вариант (пример):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after="0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1.Термин «Олимпиада» означает: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а)четырехлетний период между Олимпийскими играми;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б)первый год четырехлетия, наступление которого празднуют Олимпийские игры;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в) соревнования, проводимые во время Олимпийских игр.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2.Процес обучения двигательному действию рек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омендуется начинать с освоения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: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а) ведущего звена техники ;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б) основ техники;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в) деталей техники.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3.Физическая культура-это :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а) часть человеческой культуры 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б) разновидность развлекательной деятельности человека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в) стремление к высшим спортивным достижениям. 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4.Укажите норму частоты сердечных сокращений (ЧСС) в покое у здорового нетренированного человека: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а) 60-80 уд./мин.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б) 80-84 уд./мин.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в) 85-90 уд./мин.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5.Основными показателями физического развития человека являются: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а)антропометрические характеристики человека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б)результаты прыжка в длину с места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в) результаты в челночном беге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г)уровень развития общей выносливости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6.Физическое упражнение –это: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а)одно из вспомогательных средств физической культуры, направленное на решение конкретной задачи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б) основное средство физической культуры, способствующее решению задач физического воспитания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в) один из методов физического воспитания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7.При выполнении физических упражнений нагрузка характеризуется: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а)сочетанием объема и интенсивности при выполнении двигательных действий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б)степенью преодолеваемых трудностей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в)утомлением , возникающим в результате их выполнения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8.Укажите диапазон предельно допустимой ЧСС во время физической нагрузки у нетренированного человека: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а)180-200 уд/мин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б)170-180 уд/мин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в)140-160 уд/мин 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9.Что понимается под закаливанием: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а)купание в холодной воде и хождение босиком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б)приспособление организма к воздействиям внешней среды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в)сочетание воздушных и солнечных ванн с физическими упражнениями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10.Главной причиной нарушения осанки является: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а)привычка определенным позам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б)слабость мышц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в)отсутствие движения во время школьных уроков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г)ношение сумки, портфеля в одной руке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11.Под быстротой как физическим качеством понимается: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а)комплекс свойств человека, позволяющих передвигаться с большой скоростью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б)комплекс физических свойств человека, позволяющих быстро реагировать на сигналы и выполнять движения за кратчайший промежуток времени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в)способность человека быстро набирать скорость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12.Какая дистанция в легкой атлетике не является классической: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а) 200м.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б) 500м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в) 100 м 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13.Чем характеризуется утомление: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а)отказом от работы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б)временным снижением работоспособности организма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в)повышенной ЧСС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14.Под силой как физическим качеством понимается: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а)способность поднимать тяжелые предметы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б)возможность воздействовать на внешние силы за счет мышечных напряжений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в)возможность человека преодолевать внешнее сопротивление либо противодействовать ему за счет мышечных напряжений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15.Под техникой двигательных действий понимают: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а)способ целесообразного решения двигательной задачи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б)способ организации движений при выполнении упражнений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в)последовательность движений при выполнении упражнений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16.Какое физическое качество развивается при длительном беге в медленном темпе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а) выносливость 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б) сила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в)ловкость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г)быстрота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17.Первая помощь при ушибах заключается в том, что поврежденное место следует: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а)охладить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б)постараться положить на возвышение и постараться обратиться к врачу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в) нагреть, наложить теплый компресс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18.Укажите количество игроков волейбольной команды: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а)5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б)6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в)7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19.Что означает баскетбольный термин «пробежка» при выполнении броска в кольцо: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а) выполнение с мячом в руках трех шагов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б) выполнение с мячом в руках двух шагов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в) выполнение с мячом в руках одного шага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20.С какого цвета начинается эмблема колец Международного олимпийского комитета(МОК)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а)  желтый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б) красный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в) черный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г) синий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д) зеленый 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tabs>
          <w:tab w:val="right" w:pos="14570" w:leader="none"/>
        </w:tabs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Практические задания  для  дифференцированного зачета.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tabs>
          <w:tab w:val="right" w:pos="14570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04"/>
        <w:gridCol w:w="2388"/>
        <w:gridCol w:w="1107"/>
        <w:gridCol w:w="1107"/>
        <w:gridCol w:w="1118"/>
        <w:gridCol w:w="1107"/>
        <w:gridCol w:w="1120"/>
        <w:gridCol w:w="1119"/>
      </w:tblGrid>
      <w:tr>
        <w:tblPrEx/>
        <w:trPr>
          <w:trHeight w:val="345"/>
        </w:trPr>
        <w:tc>
          <w:tcPr>
            <w:shd w:val="clear" w:color="auto" w:fill="auto"/>
            <w:tcW w:w="533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right" w:pos="14570" w:leader="none"/>
              </w:tabs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№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shd w:val="clear" w:color="auto" w:fill="auto"/>
            <w:tcW w:w="316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right" w:pos="14570" w:leader="none"/>
              </w:tabs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Тест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gridSpan w:val="3"/>
            <w:shd w:val="clear" w:color="auto" w:fill="auto"/>
            <w:tcBorders>
              <w:bottom w:val="single" w:color="auto" w:sz="4" w:space="0"/>
            </w:tcBorders>
            <w:tcW w:w="5544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right" w:pos="14570" w:leader="none"/>
              </w:tabs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                                Юноши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5549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1500" w:leader="none"/>
              </w:tabs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ab/>
              <w:t xml:space="preserve">        Девушки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</w:tr>
      <w:tr>
        <w:tblPrEx/>
        <w:trPr>
          <w:trHeight w:val="293"/>
        </w:trPr>
        <w:tc>
          <w:tcPr>
            <w:shd w:val="clear" w:color="auto" w:fill="auto"/>
            <w:tcW w:w="533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right" w:pos="14570" w:leader="none"/>
              </w:tabs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shd w:val="clear" w:color="auto" w:fill="auto"/>
            <w:tcW w:w="31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right" w:pos="14570" w:leader="none"/>
              </w:tabs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shd w:val="clear" w:color="auto" w:fill="auto"/>
            <w:tcW w:w="1848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right" w:pos="14570" w:leader="none"/>
              </w:tabs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</w:tcBorders>
            <w:tcW w:w="1848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right" w:pos="14570" w:leader="none"/>
              </w:tabs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shd w:val="clear" w:color="auto" w:fill="auto"/>
            <w:tcW w:w="1848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right" w:pos="14570" w:leader="none"/>
              </w:tabs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shd w:val="clear" w:color="auto" w:fill="auto"/>
            <w:tcW w:w="1848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right" w:pos="14570" w:leader="none"/>
              </w:tabs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shd w:val="clear" w:color="auto" w:fill="auto"/>
            <w:tcW w:w="1852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right" w:pos="14570" w:leader="none"/>
              </w:tabs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shd w:val="clear" w:color="auto" w:fill="auto"/>
            <w:tcW w:w="1849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right" w:pos="14570" w:leader="none"/>
              </w:tabs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533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right" w:pos="14570" w:leader="none"/>
              </w:tabs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shd w:val="clear" w:color="auto" w:fill="auto"/>
            <w:tcW w:w="3160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right" w:pos="14570" w:leader="none"/>
              </w:tabs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Отжимание из упора лёжа (девушки) (раз)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shd w:val="clear" w:color="auto" w:fill="auto"/>
            <w:tcW w:w="1848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right" w:pos="14570" w:leader="none"/>
              </w:tabs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shd w:val="clear" w:color="auto" w:fill="auto"/>
            <w:tcW w:w="1848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right" w:pos="14570" w:leader="none"/>
              </w:tabs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shd w:val="clear" w:color="auto" w:fill="auto"/>
            <w:tcW w:w="1848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right" w:pos="14570" w:leader="none"/>
              </w:tabs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shd w:val="clear" w:color="auto" w:fill="auto"/>
            <w:tcW w:w="1848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right" w:pos="14570" w:leader="none"/>
              </w:tabs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shd w:val="clear" w:color="auto" w:fill="auto"/>
            <w:tcW w:w="1852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right" w:pos="14570" w:leader="none"/>
              </w:tabs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shd w:val="clear" w:color="auto" w:fill="auto"/>
            <w:tcW w:w="1849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right" w:pos="14570" w:leader="none"/>
              </w:tabs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533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right" w:pos="14570" w:leader="none"/>
              </w:tabs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shd w:val="clear" w:color="auto" w:fill="auto"/>
            <w:tcW w:w="3160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right" w:pos="14570" w:leader="none"/>
              </w:tabs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Подтягивание из виса на высокой перекладине (юноши) (раз)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shd w:val="clear" w:color="auto" w:fill="auto"/>
            <w:tcW w:w="1848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right" w:pos="14570" w:leader="none"/>
              </w:tabs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shd w:val="clear" w:color="auto" w:fill="auto"/>
            <w:tcW w:w="1848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right" w:pos="14570" w:leader="none"/>
              </w:tabs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shd w:val="clear" w:color="auto" w:fill="auto"/>
            <w:tcW w:w="1848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right" w:pos="14570" w:leader="none"/>
              </w:tabs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shd w:val="clear" w:color="auto" w:fill="auto"/>
            <w:tcW w:w="1848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right" w:pos="14570" w:leader="none"/>
              </w:tabs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shd w:val="clear" w:color="auto" w:fill="auto"/>
            <w:tcW w:w="1852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right" w:pos="14570" w:leader="none"/>
              </w:tabs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shd w:val="clear" w:color="auto" w:fill="auto"/>
            <w:tcW w:w="1849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right" w:pos="14570" w:leader="none"/>
              </w:tabs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533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right" w:pos="14570" w:leader="none"/>
              </w:tabs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shd w:val="clear" w:color="auto" w:fill="auto"/>
            <w:tcW w:w="3160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right" w:pos="14570" w:leader="none"/>
              </w:tabs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Прыжок в длину с места (см)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shd w:val="clear" w:color="auto" w:fill="auto"/>
            <w:tcW w:w="1848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right" w:pos="14570" w:leader="none"/>
              </w:tabs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205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shd w:val="clear" w:color="auto" w:fill="auto"/>
            <w:tcW w:w="1848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right" w:pos="14570" w:leader="none"/>
              </w:tabs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215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shd w:val="clear" w:color="auto" w:fill="auto"/>
            <w:tcW w:w="1848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right" w:pos="14570" w:leader="none"/>
              </w:tabs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225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shd w:val="clear" w:color="auto" w:fill="auto"/>
            <w:tcW w:w="1848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right" w:pos="14570" w:leader="none"/>
              </w:tabs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145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shd w:val="clear" w:color="auto" w:fill="auto"/>
            <w:tcW w:w="1852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right" w:pos="14570" w:leader="none"/>
              </w:tabs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165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shd w:val="clear" w:color="auto" w:fill="auto"/>
            <w:tcW w:w="1849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right" w:pos="14570" w:leader="none"/>
              </w:tabs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185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533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right" w:pos="14570" w:leader="none"/>
              </w:tabs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shd w:val="clear" w:color="auto" w:fill="auto"/>
            <w:tcW w:w="3160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right" w:pos="14570" w:leader="none"/>
              </w:tabs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Поднимание туловища из положения лёжа, руки за головой, ноги закреплены.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shd w:val="clear" w:color="auto" w:fill="auto"/>
            <w:tcW w:w="1848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right" w:pos="14570" w:leader="none"/>
              </w:tabs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20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shd w:val="clear" w:color="auto" w:fill="auto"/>
            <w:tcW w:w="1848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right" w:pos="14570" w:leader="none"/>
              </w:tabs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32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shd w:val="clear" w:color="auto" w:fill="auto"/>
            <w:tcW w:w="1848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right" w:pos="14570" w:leader="none"/>
              </w:tabs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40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shd w:val="clear" w:color="auto" w:fill="auto"/>
            <w:tcW w:w="1848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right" w:pos="14570" w:leader="none"/>
              </w:tabs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20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shd w:val="clear" w:color="auto" w:fill="auto"/>
            <w:tcW w:w="1852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right" w:pos="14570" w:leader="none"/>
              </w:tabs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28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shd w:val="clear" w:color="auto" w:fill="auto"/>
            <w:tcW w:w="1849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right" w:pos="14570" w:leader="none"/>
              </w:tabs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35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533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right" w:pos="14570" w:leader="none"/>
              </w:tabs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shd w:val="clear" w:color="auto" w:fill="auto"/>
            <w:tcW w:w="3160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right" w:pos="14570" w:leader="none"/>
              </w:tabs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Челночный бег  3 по 10м (сек)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shd w:val="clear" w:color="auto" w:fill="auto"/>
            <w:tcW w:w="1848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right" w:pos="14570" w:leader="none"/>
              </w:tabs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8,2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shd w:val="clear" w:color="auto" w:fill="auto"/>
            <w:tcW w:w="1848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right" w:pos="14570" w:leader="none"/>
              </w:tabs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7,4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shd w:val="clear" w:color="auto" w:fill="auto"/>
            <w:tcW w:w="1848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right" w:pos="14570" w:leader="none"/>
              </w:tabs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6,8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shd w:val="clear" w:color="auto" w:fill="auto"/>
            <w:tcW w:w="1848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right" w:pos="14570" w:leader="none"/>
              </w:tabs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9,2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shd w:val="clear" w:color="auto" w:fill="auto"/>
            <w:tcW w:w="1852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right" w:pos="14570" w:leader="none"/>
              </w:tabs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8,7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shd w:val="clear" w:color="auto" w:fill="auto"/>
            <w:tcW w:w="1849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right" w:pos="14570" w:leader="none"/>
              </w:tabs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8,4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533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right" w:pos="14570" w:leader="none"/>
              </w:tabs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shd w:val="clear" w:color="auto" w:fill="auto"/>
            <w:tcW w:w="3160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right" w:pos="14570" w:leader="none"/>
              </w:tabs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Наклон вперед из положения стоя (см)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shd w:val="clear" w:color="auto" w:fill="auto"/>
            <w:tcW w:w="1848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right" w:pos="14570" w:leader="none"/>
              </w:tabs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+4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shd w:val="clear" w:color="auto" w:fill="auto"/>
            <w:tcW w:w="1848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right" w:pos="14570" w:leader="none"/>
              </w:tabs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+9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shd w:val="clear" w:color="auto" w:fill="auto"/>
            <w:tcW w:w="1848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right" w:pos="14570" w:leader="none"/>
              </w:tabs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+12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shd w:val="clear" w:color="auto" w:fill="auto"/>
            <w:tcW w:w="1848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right" w:pos="14570" w:leader="none"/>
              </w:tabs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+6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shd w:val="clear" w:color="auto" w:fill="auto"/>
            <w:tcW w:w="1852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right" w:pos="14570" w:leader="none"/>
              </w:tabs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+11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shd w:val="clear" w:color="auto" w:fill="auto"/>
            <w:tcW w:w="1849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right" w:pos="14570" w:leader="none"/>
              </w:tabs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+16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</w:tr>
    </w:tbl>
    <w:p>
      <w:pPr>
        <w:jc w:val="both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1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Verdana">
    <w:panose1 w:val="020B060403050404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  <w:font w:name="Arial Unicode MS">
    <w:panose1 w:val="020B05060202030202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1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3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0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7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1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3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0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7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1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3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0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7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1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3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0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7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1"/>
  </w:num>
  <w:num w:numId="5">
    <w:abstractNumId w:val="4"/>
  </w:num>
  <w:num w:numId="6">
    <w:abstractNumId w:val="9"/>
  </w:num>
  <w:num w:numId="7">
    <w:abstractNumId w:val="8"/>
  </w:num>
  <w:num w:numId="8">
    <w:abstractNumId w:val="7"/>
  </w:num>
  <w:num w:numId="9">
    <w:abstractNumId w:val="0"/>
  </w:num>
  <w:num w:numId="10">
    <w:abstractNumId w:val="3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79"/>
    <w:link w:val="675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79"/>
    <w:link w:val="676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79"/>
    <w:link w:val="677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79"/>
    <w:link w:val="678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74"/>
    <w:next w:val="674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79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74"/>
    <w:next w:val="674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79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74"/>
    <w:next w:val="674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79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74"/>
    <w:next w:val="674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79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74"/>
    <w:next w:val="674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79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character" w:styleId="35">
    <w:name w:val="Title Char"/>
    <w:basedOn w:val="679"/>
    <w:link w:val="696"/>
    <w:uiPriority w:val="10"/>
    <w:rPr>
      <w:sz w:val="48"/>
      <w:szCs w:val="48"/>
    </w:rPr>
  </w:style>
  <w:style w:type="character" w:styleId="37">
    <w:name w:val="Subtitle Char"/>
    <w:basedOn w:val="679"/>
    <w:link w:val="694"/>
    <w:uiPriority w:val="11"/>
    <w:rPr>
      <w:sz w:val="24"/>
      <w:szCs w:val="24"/>
    </w:rPr>
  </w:style>
  <w:style w:type="paragraph" w:styleId="38">
    <w:name w:val="Quote"/>
    <w:basedOn w:val="674"/>
    <w:next w:val="674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74"/>
    <w:next w:val="674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79"/>
    <w:link w:val="708"/>
    <w:uiPriority w:val="99"/>
  </w:style>
  <w:style w:type="character" w:styleId="45">
    <w:name w:val="Footer Char"/>
    <w:basedOn w:val="679"/>
    <w:link w:val="692"/>
    <w:uiPriority w:val="99"/>
  </w:style>
  <w:style w:type="paragraph" w:styleId="46">
    <w:name w:val="Caption"/>
    <w:basedOn w:val="674"/>
    <w:next w:val="67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692"/>
    <w:uiPriority w:val="99"/>
  </w:style>
  <w:style w:type="table" w:styleId="49">
    <w:name w:val="Table Grid Light"/>
    <w:basedOn w:val="68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8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8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8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8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8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8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8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8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8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6">
    <w:name w:val="Footnote Text Char"/>
    <w:link w:val="690"/>
    <w:uiPriority w:val="99"/>
    <w:rPr>
      <w:sz w:val="18"/>
    </w:rPr>
  </w:style>
  <w:style w:type="character" w:styleId="177">
    <w:name w:val="footnote reference"/>
    <w:basedOn w:val="679"/>
    <w:uiPriority w:val="99"/>
    <w:unhideWhenUsed/>
    <w:rPr>
      <w:vertAlign w:val="superscript"/>
    </w:rPr>
  </w:style>
  <w:style w:type="paragraph" w:styleId="178">
    <w:name w:val="endnote text"/>
    <w:basedOn w:val="674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79"/>
    <w:uiPriority w:val="99"/>
    <w:semiHidden/>
    <w:unhideWhenUsed/>
    <w:rPr>
      <w:vertAlign w:val="superscript"/>
    </w:rPr>
  </w:style>
  <w:style w:type="paragraph" w:styleId="181">
    <w:name w:val="toc 1"/>
    <w:basedOn w:val="674"/>
    <w:next w:val="674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74"/>
    <w:next w:val="674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74"/>
    <w:next w:val="674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74"/>
    <w:next w:val="674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74"/>
    <w:next w:val="674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74"/>
    <w:next w:val="674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74"/>
    <w:next w:val="674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74"/>
    <w:next w:val="674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74"/>
    <w:next w:val="674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74"/>
    <w:next w:val="674"/>
    <w:uiPriority w:val="99"/>
    <w:unhideWhenUsed/>
    <w:pPr>
      <w:spacing w:after="0" w:afterAutospacing="0"/>
    </w:pPr>
  </w:style>
  <w:style w:type="paragraph" w:styleId="674" w:default="1">
    <w:name w:val="Normal"/>
    <w:qFormat/>
  </w:style>
  <w:style w:type="paragraph" w:styleId="675">
    <w:name w:val="Heading 1"/>
    <w:basedOn w:val="674"/>
    <w:next w:val="676"/>
    <w:link w:val="682"/>
    <w:uiPriority w:val="99"/>
    <w:qFormat/>
    <w:pPr>
      <w:ind w:left="432" w:hanging="432"/>
      <w:keepNext/>
      <w:spacing w:after="480" w:line="480" w:lineRule="exact"/>
      <w:tabs>
        <w:tab w:val="num" w:pos="432" w:leader="none"/>
      </w:tabs>
      <w:outlineLvl w:val="0"/>
    </w:pPr>
    <w:rPr>
      <w:rFonts w:ascii="Cambria" w:hAnsi="Cambria" w:eastAsia="Times New Roman" w:cs="Times New Roman"/>
      <w:b/>
      <w:bCs/>
      <w:sz w:val="32"/>
      <w:szCs w:val="32"/>
      <w:lang w:eastAsia="ru-RU"/>
    </w:rPr>
  </w:style>
  <w:style w:type="paragraph" w:styleId="676">
    <w:name w:val="Heading 2"/>
    <w:basedOn w:val="674"/>
    <w:next w:val="674"/>
    <w:link w:val="683"/>
    <w:uiPriority w:val="99"/>
    <w:qFormat/>
    <w:pPr>
      <w:keepNext/>
      <w:spacing w:before="240" w:after="60" w:line="240" w:lineRule="auto"/>
      <w:outlineLvl w:val="1"/>
    </w:pPr>
    <w:rPr>
      <w:rFonts w:ascii="Cambria" w:hAnsi="Cambria" w:eastAsia="Times New Roman" w:cs="Times New Roman"/>
      <w:b/>
      <w:bCs/>
      <w:i/>
      <w:iCs/>
      <w:sz w:val="28"/>
      <w:szCs w:val="28"/>
      <w:lang w:eastAsia="ru-RU"/>
    </w:rPr>
  </w:style>
  <w:style w:type="paragraph" w:styleId="677">
    <w:name w:val="Heading 3"/>
    <w:basedOn w:val="674"/>
    <w:next w:val="674"/>
    <w:link w:val="684"/>
    <w:uiPriority w:val="99"/>
    <w:qFormat/>
    <w:pPr>
      <w:keepNext/>
      <w:spacing w:before="240" w:after="60" w:line="240" w:lineRule="auto"/>
      <w:outlineLvl w:val="2"/>
    </w:pPr>
    <w:rPr>
      <w:rFonts w:ascii="Cambria" w:hAnsi="Cambria" w:eastAsia="Times New Roman" w:cs="Times New Roman"/>
      <w:b/>
      <w:bCs/>
      <w:sz w:val="26"/>
      <w:szCs w:val="26"/>
      <w:lang w:eastAsia="ru-RU"/>
    </w:rPr>
  </w:style>
  <w:style w:type="paragraph" w:styleId="678">
    <w:name w:val="Heading 4"/>
    <w:basedOn w:val="674"/>
    <w:next w:val="674"/>
    <w:link w:val="685"/>
    <w:uiPriority w:val="99"/>
    <w:qFormat/>
    <w:pPr>
      <w:keepLines/>
      <w:keepNext/>
      <w:spacing w:before="200" w:after="0" w:line="240" w:lineRule="auto"/>
      <w:outlineLvl w:val="3"/>
    </w:pPr>
    <w:rPr>
      <w:rFonts w:ascii="Cambria" w:hAnsi="Cambria" w:eastAsia="Times New Roman" w:cs="Times New Roman"/>
      <w:b/>
      <w:bCs/>
      <w:i/>
      <w:iCs/>
      <w:color w:val="4f81bd"/>
      <w:sz w:val="24"/>
      <w:szCs w:val="24"/>
      <w:lang w:eastAsia="ru-RU"/>
    </w:rPr>
  </w:style>
  <w:style w:type="character" w:styleId="679" w:default="1">
    <w:name w:val="Default Paragraph Font"/>
    <w:uiPriority w:val="1"/>
    <w:semiHidden/>
    <w:unhideWhenUsed/>
  </w:style>
  <w:style w:type="table" w:styleId="68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1" w:default="1">
    <w:name w:val="No List"/>
    <w:uiPriority w:val="99"/>
    <w:semiHidden/>
    <w:unhideWhenUsed/>
  </w:style>
  <w:style w:type="character" w:styleId="682" w:customStyle="1">
    <w:name w:val="Заголовок 1 Знак"/>
    <w:basedOn w:val="679"/>
    <w:link w:val="675"/>
    <w:uiPriority w:val="99"/>
    <w:rPr>
      <w:rFonts w:ascii="Cambria" w:hAnsi="Cambria" w:eastAsia="Times New Roman" w:cs="Times New Roman"/>
      <w:b/>
      <w:bCs/>
      <w:sz w:val="32"/>
      <w:szCs w:val="32"/>
      <w:lang w:eastAsia="ru-RU"/>
    </w:rPr>
  </w:style>
  <w:style w:type="character" w:styleId="683" w:customStyle="1">
    <w:name w:val="Заголовок 2 Знак"/>
    <w:basedOn w:val="679"/>
    <w:link w:val="676"/>
    <w:uiPriority w:val="99"/>
    <w:rPr>
      <w:rFonts w:ascii="Cambria" w:hAnsi="Cambria" w:eastAsia="Times New Roman" w:cs="Times New Roman"/>
      <w:b/>
      <w:bCs/>
      <w:i/>
      <w:iCs/>
      <w:sz w:val="28"/>
      <w:szCs w:val="28"/>
      <w:lang w:eastAsia="ru-RU"/>
    </w:rPr>
  </w:style>
  <w:style w:type="character" w:styleId="684" w:customStyle="1">
    <w:name w:val="Заголовок 3 Знак"/>
    <w:basedOn w:val="679"/>
    <w:link w:val="677"/>
    <w:uiPriority w:val="99"/>
    <w:rPr>
      <w:rFonts w:ascii="Cambria" w:hAnsi="Cambria" w:eastAsia="Times New Roman" w:cs="Times New Roman"/>
      <w:b/>
      <w:bCs/>
      <w:sz w:val="26"/>
      <w:szCs w:val="26"/>
      <w:lang w:eastAsia="ru-RU"/>
    </w:rPr>
  </w:style>
  <w:style w:type="character" w:styleId="685" w:customStyle="1">
    <w:name w:val="Заголовок 4 Знак"/>
    <w:basedOn w:val="679"/>
    <w:link w:val="678"/>
    <w:uiPriority w:val="99"/>
    <w:rPr>
      <w:rFonts w:ascii="Cambria" w:hAnsi="Cambria" w:eastAsia="Times New Roman" w:cs="Times New Roman"/>
      <w:b/>
      <w:bCs/>
      <w:i/>
      <w:iCs/>
      <w:color w:val="4f81bd"/>
      <w:sz w:val="24"/>
      <w:szCs w:val="24"/>
      <w:lang w:eastAsia="ru-RU"/>
    </w:rPr>
  </w:style>
  <w:style w:type="numbering" w:styleId="686" w:customStyle="1">
    <w:name w:val="Нет списка1"/>
    <w:next w:val="681"/>
    <w:uiPriority w:val="99"/>
    <w:semiHidden/>
    <w:unhideWhenUsed/>
  </w:style>
  <w:style w:type="character" w:styleId="687">
    <w:name w:val="Hyperlink"/>
    <w:uiPriority w:val="99"/>
    <w:semiHidden/>
    <w:rPr>
      <w:rFonts w:cs="Times New Roman"/>
      <w:color w:val="0000ff"/>
      <w:u w:val="single"/>
    </w:rPr>
  </w:style>
  <w:style w:type="character" w:styleId="688">
    <w:name w:val="FollowedHyperlink"/>
    <w:uiPriority w:val="99"/>
    <w:semiHidden/>
    <w:rPr>
      <w:rFonts w:cs="Times New Roman"/>
      <w:color w:val="800080"/>
      <w:u w:val="single"/>
    </w:rPr>
  </w:style>
  <w:style w:type="paragraph" w:styleId="689">
    <w:name w:val="Normal (Web)"/>
    <w:basedOn w:val="674"/>
    <w:uiPriority w:val="99"/>
    <w:pPr>
      <w:spacing w:before="100" w:beforeAutospacing="1" w:after="100" w:afterAutospacing="1" w:line="240" w:lineRule="auto"/>
    </w:pPr>
    <w:rPr>
      <w:rFonts w:ascii="Arial Unicode MS" w:hAnsi="Arial" w:eastAsia="Arial Unicode MS" w:cs="Arial Unicode MS"/>
      <w:sz w:val="24"/>
      <w:szCs w:val="24"/>
      <w:lang w:eastAsia="ru-RU"/>
    </w:rPr>
  </w:style>
  <w:style w:type="paragraph" w:styleId="690">
    <w:name w:val="footnote text"/>
    <w:basedOn w:val="674"/>
    <w:link w:val="691"/>
    <w:uiPriority w:val="99"/>
    <w:semiHidden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691" w:customStyle="1">
    <w:name w:val="Текст сноски Знак"/>
    <w:basedOn w:val="679"/>
    <w:link w:val="690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692">
    <w:name w:val="Footer"/>
    <w:basedOn w:val="674"/>
    <w:link w:val="693"/>
    <w:uiPriority w:val="99"/>
    <w:semiHidden/>
    <w:pPr>
      <w:spacing w:after="0" w:line="240" w:lineRule="auto"/>
      <w:tabs>
        <w:tab w:val="center" w:pos="4677" w:leader="none"/>
        <w:tab w:val="right" w:pos="9355" w:leader="none"/>
      </w:tabs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693" w:customStyle="1">
    <w:name w:val="Нижний колонтитул Знак"/>
    <w:basedOn w:val="679"/>
    <w:link w:val="692"/>
    <w:uiPriority w:val="99"/>
    <w:semiHidden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694">
    <w:name w:val="Subtitle"/>
    <w:basedOn w:val="674"/>
    <w:next w:val="698"/>
    <w:link w:val="695"/>
    <w:uiPriority w:val="99"/>
    <w:qFormat/>
    <w:pPr>
      <w:jc w:val="center"/>
      <w:keepNext/>
      <w:spacing w:before="240" w:after="120" w:line="240" w:lineRule="auto"/>
    </w:pPr>
    <w:rPr>
      <w:rFonts w:ascii="Cambria" w:hAnsi="Cambria" w:eastAsia="Times New Roman" w:cs="Times New Roman"/>
      <w:sz w:val="24"/>
      <w:szCs w:val="24"/>
      <w:lang w:eastAsia="ru-RU"/>
    </w:rPr>
  </w:style>
  <w:style w:type="character" w:styleId="695" w:customStyle="1">
    <w:name w:val="Подзаголовок Знак"/>
    <w:basedOn w:val="679"/>
    <w:link w:val="694"/>
    <w:uiPriority w:val="99"/>
    <w:rPr>
      <w:rFonts w:ascii="Cambria" w:hAnsi="Cambria" w:eastAsia="Times New Roman" w:cs="Times New Roman"/>
      <w:sz w:val="24"/>
      <w:szCs w:val="24"/>
      <w:lang w:eastAsia="ru-RU"/>
    </w:rPr>
  </w:style>
  <w:style w:type="paragraph" w:styleId="696">
    <w:name w:val="Title"/>
    <w:basedOn w:val="674"/>
    <w:next w:val="694"/>
    <w:link w:val="697"/>
    <w:uiPriority w:val="99"/>
    <w:qFormat/>
    <w:pPr>
      <w:jc w:val="center"/>
      <w:spacing w:before="240" w:after="60" w:line="240" w:lineRule="atLeast"/>
    </w:pPr>
    <w:rPr>
      <w:rFonts w:ascii="Cambria" w:hAnsi="Cambria" w:eastAsia="Times New Roman" w:cs="Times New Roman"/>
      <w:b/>
      <w:bCs/>
      <w:sz w:val="32"/>
      <w:szCs w:val="32"/>
      <w:lang w:eastAsia="ru-RU"/>
    </w:rPr>
  </w:style>
  <w:style w:type="character" w:styleId="697" w:customStyle="1">
    <w:name w:val="Заголовок Знак"/>
    <w:basedOn w:val="679"/>
    <w:link w:val="696"/>
    <w:uiPriority w:val="99"/>
    <w:rPr>
      <w:rFonts w:ascii="Cambria" w:hAnsi="Cambria" w:eastAsia="Times New Roman" w:cs="Times New Roman"/>
      <w:b/>
      <w:bCs/>
      <w:sz w:val="32"/>
      <w:szCs w:val="32"/>
      <w:lang w:eastAsia="ru-RU"/>
    </w:rPr>
  </w:style>
  <w:style w:type="paragraph" w:styleId="698">
    <w:name w:val="Body Text"/>
    <w:basedOn w:val="674"/>
    <w:link w:val="699"/>
    <w:uiPriority w:val="99"/>
    <w:semiHidden/>
    <w:pPr>
      <w:spacing w:after="12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699" w:customStyle="1">
    <w:name w:val="Основной текст Знак"/>
    <w:basedOn w:val="679"/>
    <w:link w:val="698"/>
    <w:uiPriority w:val="99"/>
    <w:semiHidden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700">
    <w:name w:val="Body Text Indent"/>
    <w:basedOn w:val="674"/>
    <w:link w:val="701"/>
    <w:uiPriority w:val="99"/>
    <w:semiHidden/>
    <w:pPr>
      <w:ind w:left="283"/>
      <w:spacing w:after="12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701" w:customStyle="1">
    <w:name w:val="Основной текст с отступом Знак"/>
    <w:basedOn w:val="679"/>
    <w:link w:val="700"/>
    <w:uiPriority w:val="99"/>
    <w:semiHidden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702">
    <w:name w:val="List Paragraph"/>
    <w:basedOn w:val="674"/>
    <w:uiPriority w:val="99"/>
    <w:qFormat/>
    <w:pPr>
      <w:contextualSpacing/>
      <w:ind w:left="720"/>
    </w:pPr>
    <w:rPr>
      <w:rFonts w:ascii="Calibri" w:hAnsi="Calibri" w:eastAsia="Calibri" w:cs="Times New Roman"/>
    </w:rPr>
  </w:style>
  <w:style w:type="paragraph" w:styleId="703" w:customStyle="1">
    <w:name w:val="Знак Знак Знак Знак Знак Знак Знак"/>
    <w:basedOn w:val="674"/>
    <w:uiPriority w:val="99"/>
    <w:pPr>
      <w:spacing w:after="160" w:line="240" w:lineRule="exact"/>
      <w:tabs>
        <w:tab w:val="left" w:pos="708" w:leader="none"/>
      </w:tabs>
    </w:pPr>
    <w:rPr>
      <w:rFonts w:ascii="Verdana" w:hAnsi="Verdana" w:eastAsia="Times New Roman" w:cs="Verdana"/>
      <w:sz w:val="20"/>
      <w:szCs w:val="20"/>
      <w:lang w:val="en-US"/>
    </w:rPr>
  </w:style>
  <w:style w:type="character" w:styleId="704" w:customStyle="1">
    <w:name w:val="apple-converted-space"/>
    <w:uiPriority w:val="99"/>
    <w:rPr>
      <w:rFonts w:cs="Times New Roman"/>
    </w:rPr>
  </w:style>
  <w:style w:type="table" w:styleId="705">
    <w:name w:val="Table Grid"/>
    <w:basedOn w:val="680"/>
    <w:uiPriority w:val="9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706">
    <w:name w:val="Balloon Text"/>
    <w:basedOn w:val="674"/>
    <w:link w:val="707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707" w:customStyle="1">
    <w:name w:val="Текст выноски Знак"/>
    <w:basedOn w:val="679"/>
    <w:link w:val="706"/>
    <w:uiPriority w:val="99"/>
    <w:semiHidden/>
    <w:rPr>
      <w:rFonts w:ascii="Tahoma" w:hAnsi="Tahoma" w:cs="Tahoma"/>
      <w:sz w:val="16"/>
      <w:szCs w:val="16"/>
    </w:rPr>
  </w:style>
  <w:style w:type="paragraph" w:styleId="708">
    <w:name w:val="Header"/>
    <w:basedOn w:val="674"/>
    <w:link w:val="70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09" w:customStyle="1">
    <w:name w:val="Верхний колонтитул Знак"/>
    <w:basedOn w:val="679"/>
    <w:link w:val="708"/>
    <w:uiPriority w:val="99"/>
  </w:style>
  <w:style w:type="character" w:styleId="710" w:customStyle="1">
    <w:name w:val="Font Style135"/>
    <w:basedOn w:val="679"/>
    <w:uiPriority w:val="99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emf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revision>16</cp:revision>
  <dcterms:created xsi:type="dcterms:W3CDTF">2020-10-22T16:51:00Z</dcterms:created>
  <dcterms:modified xsi:type="dcterms:W3CDTF">2025-05-05T04:56:04Z</dcterms:modified>
</cp:coreProperties>
</file>